
<file path=[Content_Types].xml><?xml version="1.0" encoding="utf-8"?>
<Types xmlns="http://schemas.openxmlformats.org/package/2006/content-types">
  <Override ContentType="application/vnd.openxmlformats-officedocument.theme+xml" PartName="/word/theme/theme1.xml"/>
  <Override ContentType="application/vnd.openxmlformats-officedocument.wordprocessingml.endnotes+xml" PartName="/word/endnotes.xml"/>
  <Override ContentType="application/vnd.openxmlformats-officedocument.wordprocessingml.numbering+xml" PartName="/word/numbering.xml"/>
  <Override ContentType="application/vnd.openxmlformats-officedocument.extended-properties+xml" PartName="/docProps/app.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main+xml" PartName="/word/document.xml"/>
  <Override ContentType="application/vnd.openxmlformats-package.core-properties+xml" PartName="/docProps/core.xml"/>
  <Override ContentType="application/vnd.openxmlformats-officedocument.wordprocessingml.webSettings+xml" PartName="/word/webSettings.xml"/>
  <Override ContentType="application/vnd.openxmlformats-officedocument.wordprocessingml.styles+xml" PartName="/word/styles.xml"/>
  <Override ContentType="application/vnd.openxmlformats-officedocument.wordprocessingml.settings+xml" PartName="/word/settings.xml"/>
  <Default ContentType="image/png" Extension="png"/>
  <Default ContentType="application/xml" Extension="xml"/>
  <Default ContentType="image/jpeg" Extension="jpeg"/>
  <Default ContentType="image/gif" Extension="gif"/>
  <Default ContentType="image/jpeg" Extension="jpg"/>
  <Default ContentType="image/svg+xml" Extension="svg"/>
  <Default ContentType="application/vnd.openxmlformats-package.relationships+xml" Extension="rels"/>
  <Default ContentType="application/vnd.openxmlformats-officedocument.obfuscatedFont" Extension="odttf"/>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5"/>
        <w:pageBreakBefore w:val="off"/>
      </w:pPr>
      <w:r>
        <w:t>目    录</w:t>
      </w:r>
    </w:p>
    <w:p>
      <w:pPr>
        <w:pStyle w:val="Para 2"/>
      </w:pPr>
      <w:hyperlink w:anchor="Top_of_4095_html">
        <w:r>
          <w:t>软件安装</w:t>
        </w:r>
      </w:hyperlink>
    </w:p>
    <w:p>
      <w:pPr>
        <w:pStyle w:val="Para 2"/>
      </w:pPr>
      <w:hyperlink w:anchor="Top_of_4096_html">
        <w:r>
          <w:t>环境要求</w:t>
        </w:r>
      </w:hyperlink>
    </w:p>
    <w:p>
      <w:pPr>
        <w:pStyle w:val="0 Block"/>
      </w:pPr>
    </w:p>
    <w:p>
      <w:pPr>
        <w:pStyle w:val="Para 2"/>
      </w:pPr>
      <w:hyperlink w:anchor="Top_of_4097_html">
        <w:r>
          <w:t>安装步骤</w:t>
        </w:r>
      </w:hyperlink>
    </w:p>
    <w:p>
      <w:pPr>
        <w:pStyle w:val="0 Block"/>
      </w:pPr>
    </w:p>
    <w:p>
      <w:pPr>
        <w:pStyle w:val="Para 2"/>
      </w:pPr>
      <w:hyperlink w:anchor="Top_of_4098_html">
        <w:r>
          <w:t>软件运行</w:t>
        </w:r>
      </w:hyperlink>
    </w:p>
    <w:p>
      <w:pPr>
        <w:pStyle w:val="0 Block"/>
      </w:pPr>
    </w:p>
    <w:p>
      <w:pPr>
        <w:pStyle w:val="Para 2"/>
      </w:pPr>
      <w:hyperlink w:anchor="Top_of_4099_html">
        <w:r>
          <w:t>软件相关介绍</w:t>
        </w:r>
      </w:hyperlink>
    </w:p>
    <w:p>
      <w:pPr>
        <w:pStyle w:val="Para 2"/>
      </w:pPr>
      <w:hyperlink w:anchor="Top_of_4100_html">
        <w:r>
          <w:t>新建项目</w:t>
        </w:r>
      </w:hyperlink>
    </w:p>
    <w:p>
      <w:pPr>
        <w:pStyle w:val="Para 2"/>
      </w:pPr>
      <w:hyperlink w:anchor="Top_of_4101_html">
        <w:r>
          <w:t>登录软件</w:t>
        </w:r>
      </w:hyperlink>
    </w:p>
    <w:p>
      <w:pPr>
        <w:pStyle w:val="Para 2"/>
      </w:pPr>
      <w:hyperlink w:anchor="Top_of_4102_html">
        <w:r>
          <w:t>新建项目</w:t>
        </w:r>
      </w:hyperlink>
    </w:p>
    <w:p>
      <w:pPr>
        <w:pStyle w:val="Para 2"/>
      </w:pPr>
      <w:hyperlink w:anchor="Top_of_4103_html">
        <w:r>
          <w:t>符合性检查分析</w:t>
        </w:r>
      </w:hyperlink>
    </w:p>
    <w:p>
      <w:pPr>
        <w:pStyle w:val="0 Block"/>
      </w:pPr>
    </w:p>
    <w:p>
      <w:pPr>
        <w:pStyle w:val="Para 2"/>
      </w:pPr>
      <w:hyperlink w:anchor="Top_of_4104_html">
        <w:r>
          <w:t>清单报价甄别分析</w:t>
        </w:r>
      </w:hyperlink>
    </w:p>
    <w:p>
      <w:pPr>
        <w:pStyle w:val="0 Block"/>
      </w:pPr>
    </w:p>
    <w:p>
      <w:pPr>
        <w:pStyle w:val="Para 2"/>
      </w:pPr>
      <w:hyperlink w:anchor="Top_of_4105_html">
        <w:r>
          <w:t>合理最低价分析</w:t>
        </w:r>
      </w:hyperlink>
    </w:p>
    <w:p>
      <w:pPr>
        <w:pStyle w:val="0 Block"/>
      </w:pPr>
    </w:p>
    <w:p>
      <w:bookmarkStart w:id="1" w:name="Top_of_4095_html"/>
      <w:pPr>
        <w:pStyle w:val="Heading 1"/>
        <w:pageBreakBefore w:val="on"/>
      </w:pPr>
      <w:r>
        <w:t>软件安装</w:t>
      </w:r>
      <w:bookmarkEnd w:id="1"/>
    </w:p>
    <w:p>
      <w:bookmarkStart w:id="2" w:name="page_content"/>
      <w:pPr>
        <w:pStyle w:val="Para 3"/>
      </w:pPr>
      <w:r>
        <w:t/>
      </w:r>
      <w:bookmarkEnd w:id="2"/>
    </w:p>
    <w:p>
      <w:bookmarkStart w:id="3" w:name="Top_of_4096_html"/>
      <w:pPr>
        <w:pStyle w:val="Heading 1"/>
        <w:pageBreakBefore w:val="on"/>
      </w:pPr>
      <w:r>
        <w:t>环境要求</w:t>
      </w:r>
      <w:bookmarkEnd w:id="3"/>
    </w:p>
    <w:p>
      <w:bookmarkStart w:id="4" w:name="1_1___Ying_Jian_Huan_Jing__Zui_D"/>
      <w:pPr>
        <w:pStyle w:val="Para 3"/>
      </w:pPr>
      <w:r>
        <w:t/>
      </w:r>
      <w:bookmarkEnd w:id="4"/>
    </w:p>
    <w:p>
      <w:pPr>
        <w:pStyle w:val="Normal"/>
      </w:pPr>
      <w:r>
        <w:t>1.1 、硬件环境</w:t>
      </w:r>
    </w:p>
    <w:p>
      <w:pPr>
        <w:pStyle w:val="Normal"/>
      </w:pPr>
      <w:r>
        <w:t>最低配置：</w:t>
      </w:r>
    </w:p>
    <w:p>
      <w:pPr>
        <w:pStyle w:val="Normal"/>
      </w:pPr>
      <w:r>
        <w:t>处理器：PentiumⅢ 800MHz或更高</w:t>
      </w:r>
    </w:p>
    <w:p>
      <w:pPr>
        <w:pStyle w:val="Normal"/>
      </w:pPr>
      <w:r>
        <w:t>内存： 512MB</w:t>
      </w:r>
    </w:p>
    <w:p>
      <w:pPr>
        <w:pStyle w:val="Normal"/>
      </w:pPr>
      <w:r>
        <w:t>硬盘：200MB可用硬盘空间</w:t>
      </w:r>
    </w:p>
    <w:p>
      <w:pPr>
        <w:pStyle w:val="Normal"/>
      </w:pPr>
      <w:r>
        <w:t>显示器： VGA、SVGA、TVGA等彩色显示器，分辨率 800×600，16位真</w:t>
      </w:r>
    </w:p>
    <w:p>
      <w:pPr>
        <w:pStyle w:val="Normal"/>
      </w:pPr>
      <w:r>
        <w:t>1.2、软件环境</w:t>
      </w:r>
    </w:p>
    <w:p>
      <w:pPr>
        <w:pStyle w:val="Normal"/>
      </w:pPr>
      <w:r>
        <w:t>操作系统：</w:t>
      </w:r>
    </w:p>
    <w:p>
      <w:pPr>
        <w:pStyle w:val="Normal"/>
      </w:pPr>
      <w:r>
        <w:t>使用Windows XP及以上系统，最高兼容 Windows 10</w:t>
      </w:r>
    </w:p>
    <w:p>
      <w:pPr>
        <w:pStyle w:val="Normal"/>
      </w:pPr>
      <w:r>
        <w:t>1.3、辅助软件</w:t>
      </w:r>
    </w:p>
    <w:p>
      <w:pPr>
        <w:pStyle w:val="Normal"/>
      </w:pPr>
      <w:r>
        <w:t>需要安装微软Office2000或以上的完整版本,</w:t>
      </w:r>
    </w:p>
    <w:p>
      <w:pPr>
        <w:pStyle w:val="Normal"/>
      </w:pPr>
      <w:r>
        <w:t>若没有请预先安装，否则会影响到软件某些功能的正常使用</w:t>
      </w:r>
    </w:p>
    <w:p>
      <w:pPr>
        <w:pStyle w:val="Para 3"/>
      </w:pPr>
      <w:r>
        <w:t xml:space="preserve"> </w:t>
      </w:r>
    </w:p>
    <w:p>
      <w:bookmarkStart w:id="5" w:name="Top_of_4097_html"/>
      <w:pPr>
        <w:pStyle w:val="Heading 1"/>
        <w:pageBreakBefore w:val="on"/>
      </w:pPr>
      <w:r>
        <w:t>安装步骤</w:t>
      </w:r>
      <w:bookmarkEnd w:id="5"/>
    </w:p>
    <w:p>
      <w:bookmarkStart w:id="6" w:name="1__Tong_Guo_Liu_Lan_Qi_Jin_Ru_Gu"/>
      <w:pPr>
        <w:pStyle w:val="Para 3"/>
      </w:pPr>
      <w:r>
        <w:t/>
      </w:r>
      <w:bookmarkEnd w:id="6"/>
    </w:p>
    <w:p>
      <w:pPr>
        <w:pStyle w:val="Normal"/>
      </w:pPr>
      <w:r>
        <w:t>1、通过浏览器进入官方网站</w:t>
      </w:r>
      <w:hyperlink r:id="rId29">
        <w:r>
          <w:rPr>
            <w:rStyle w:val="Text0"/>
          </w:rPr>
          <w:t>www.geekray.cn</w:t>
        </w:r>
      </w:hyperlink>
      <w:r>
        <w:t xml:space="preserve"> 在【易纵@计价系列】中，即可获得软件安装程序</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200400"/>
            <wp:effectExtent b="0" l="0" r="0" t="0"/>
            <wp:wrapTopAndBottom/>
            <wp:docPr descr="m_4cd44971309a41bbb6ce72a6623ae384_r.jpg" id="1" name="m_4cd44971309a41bbb6ce72a6623ae384_r.jpg"/>
            <wp:cNvGraphicFramePr>
              <a:graphicFrameLocks noChangeAspect="1"/>
            </wp:cNvGraphicFramePr>
            <a:graphic>
              <a:graphicData uri="http://schemas.openxmlformats.org/drawingml/2006/picture">
                <pic:pic>
                  <pic:nvPicPr>
                    <pic:cNvPr descr="m_4cd44971309a41bbb6ce72a6623ae384_r.jpg" id="0" name="m_4cd44971309a41bbb6ce72a6623ae384_r.jpg"/>
                    <pic:cNvPicPr/>
                  </pic:nvPicPr>
                  <pic:blipFill>
                    <a:blip r:embed="rId5"/>
                    <a:stretch>
                      <a:fillRect/>
                    </a:stretch>
                  </pic:blipFill>
                  <pic:spPr>
                    <a:xfrm>
                      <a:off x="0" y="0"/>
                      <a:ext cx="5727700" cy="3200400"/>
                    </a:xfrm>
                    <a:prstGeom prst="rect">
                      <a:avLst/>
                    </a:prstGeom>
                  </pic:spPr>
                </pic:pic>
              </a:graphicData>
            </a:graphic>
          </wp:anchor>
        </w:drawing>
      </w:r>
    </w:p>
    <w:p>
      <w:pPr>
        <w:pStyle w:val="Normal"/>
      </w:pPr>
      <w:r>
        <w:t>2、双击打开下载成功后的安装程序</w:t>
        <w:drawing>
          <wp:inline>
            <wp:extent cx="1104900" cy="1511300"/>
            <wp:effectExtent b="0" l="0" r="0" t="0"/>
            <wp:docPr descr="m_4d98c3e5f5e1469966c20bb843ecc005_r.jpg" id="2" name="m_4d98c3e5f5e1469966c20bb843ecc005_r.jpg"/>
            <wp:cNvGraphicFramePr>
              <a:graphicFrameLocks noChangeAspect="1"/>
            </wp:cNvGraphicFramePr>
            <a:graphic>
              <a:graphicData uri="http://schemas.openxmlformats.org/drawingml/2006/picture">
                <pic:pic>
                  <pic:nvPicPr>
                    <pic:cNvPr descr="m_4d98c3e5f5e1469966c20bb843ecc005_r.jpg" id="0" name="m_4d98c3e5f5e1469966c20bb843ecc005_r.jpg"/>
                    <pic:cNvPicPr/>
                  </pic:nvPicPr>
                  <pic:blipFill>
                    <a:blip r:embed="rId6"/>
                    <a:stretch>
                      <a:fillRect/>
                    </a:stretch>
                  </pic:blipFill>
                  <pic:spPr>
                    <a:xfrm>
                      <a:off x="0" y="0"/>
                      <a:ext cx="1104900" cy="1511300"/>
                    </a:xfrm>
                    <a:prstGeom prst="rect">
                      <a:avLst/>
                    </a:prstGeom>
                  </pic:spPr>
                </pic:pic>
              </a:graphicData>
            </a:graphic>
          </wp:inline>
        </w:drawing>
      </w:r>
    </w:p>
    <w:p>
      <w:pPr>
        <w:pStyle w:val="Normal"/>
      </w:pPr>
      <w:r>
        <w:t>3、点击【一键安装】即可完成软件安装。</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686300"/>
            <wp:effectExtent b="0" l="0" r="0" t="0"/>
            <wp:wrapTopAndBottom/>
            <wp:docPr descr="m_0b71919951e452347feba4d697ba1b55_r.jpg" id="3" name="m_0b71919951e452347feba4d697ba1b55_r.jpg"/>
            <wp:cNvGraphicFramePr>
              <a:graphicFrameLocks noChangeAspect="1"/>
            </wp:cNvGraphicFramePr>
            <a:graphic>
              <a:graphicData uri="http://schemas.openxmlformats.org/drawingml/2006/picture">
                <pic:pic>
                  <pic:nvPicPr>
                    <pic:cNvPr descr="m_0b71919951e452347feba4d697ba1b55_r.jpg" id="0" name="m_0b71919951e452347feba4d697ba1b55_r.jpg"/>
                    <pic:cNvPicPr/>
                  </pic:nvPicPr>
                  <pic:blipFill>
                    <a:blip r:embed="rId7"/>
                    <a:stretch>
                      <a:fillRect/>
                    </a:stretch>
                  </pic:blipFill>
                  <pic:spPr>
                    <a:xfrm>
                      <a:off x="0" y="0"/>
                      <a:ext cx="5727700" cy="4686300"/>
                    </a:xfrm>
                    <a:prstGeom prst="rect">
                      <a:avLst/>
                    </a:prstGeom>
                  </pic:spPr>
                </pic:pic>
              </a:graphicData>
            </a:graphic>
          </wp:anchor>
        </w:drawing>
      </w:r>
    </w:p>
    <w:p>
      <w:pPr>
        <w:pStyle w:val="Normal"/>
      </w:pPr>
      <w:r>
        <w:t xml:space="preserve">注：软件默认安装路径为：系统盘:\Program Files (x86)\上海招投标\回标分析系统\。 若您需要修改安装路径，可在【自定义选项】修改。 </w:t>
      </w:r>
    </w:p>
    <w:p>
      <w:pPr>
        <w:pStyle w:val="Para 3"/>
      </w:pPr>
      <w:r>
        <w:t xml:space="preserve"> </w:t>
      </w:r>
    </w:p>
    <w:p>
      <w:bookmarkStart w:id="7" w:name="Top_of_4098_html"/>
      <w:pPr>
        <w:pStyle w:val="Heading 1"/>
        <w:pageBreakBefore w:val="on"/>
      </w:pPr>
      <w:r>
        <w:t>软件运行</w:t>
      </w:r>
      <w:bookmarkEnd w:id="7"/>
    </w:p>
    <w:p>
      <w:bookmarkStart w:id="8" w:name="Ruan_Jian_An_Zhuang_Hao_Yi_Hou"/>
      <w:pPr>
        <w:pStyle w:val="Para 3"/>
      </w:pPr>
      <w:r>
        <w:t/>
      </w:r>
      <w:bookmarkEnd w:id="8"/>
    </w:p>
    <w:p>
      <w:pPr>
        <w:pStyle w:val="Normal"/>
      </w:pPr>
      <w:r>
        <w:t>软件安装好以后，会在桌面上产生一个快捷图标“回标分析系统 ”</w:t>
      </w:r>
    </w:p>
    <w:p>
      <w:pPr>
        <w:pStyle w:val="Normal"/>
      </w:pPr>
      <w:r>
        <w:t>直接双击这个图标就可以进入软件</w:t>
        <w:drawing>
          <wp:inline>
            <wp:extent cx="863600" cy="977900"/>
            <wp:effectExtent b="0" l="0" r="0" t="0"/>
            <wp:docPr descr="m_fea19caf4913460e7f440a0796dc3e2d_r.jpg" id="4" name="m_fea19caf4913460e7f440a0796dc3e2d_r.jpg"/>
            <wp:cNvGraphicFramePr>
              <a:graphicFrameLocks noChangeAspect="1"/>
            </wp:cNvGraphicFramePr>
            <a:graphic>
              <a:graphicData uri="http://schemas.openxmlformats.org/drawingml/2006/picture">
                <pic:pic>
                  <pic:nvPicPr>
                    <pic:cNvPr descr="m_fea19caf4913460e7f440a0796dc3e2d_r.jpg" id="0" name="m_fea19caf4913460e7f440a0796dc3e2d_r.jpg"/>
                    <pic:cNvPicPr/>
                  </pic:nvPicPr>
                  <pic:blipFill>
                    <a:blip r:embed="rId8"/>
                    <a:stretch>
                      <a:fillRect/>
                    </a:stretch>
                  </pic:blipFill>
                  <pic:spPr>
                    <a:xfrm>
                      <a:off x="0" y="0"/>
                      <a:ext cx="863600" cy="977900"/>
                    </a:xfrm>
                    <a:prstGeom prst="rect">
                      <a:avLst/>
                    </a:prstGeom>
                  </pic:spPr>
                </pic:pic>
              </a:graphicData>
            </a:graphic>
          </wp:inline>
        </w:drawing>
      </w:r>
    </w:p>
    <w:p>
      <w:pPr>
        <w:pStyle w:val="Normal"/>
      </w:pPr>
      <w:r>
        <w:t>或者从Windows的【开始】中找到“回标分析系统”也可以进入软件</w:t>
      </w:r>
    </w:p>
    <w:p>
      <w:pPr>
        <w:pStyle w:val="Normal"/>
      </w:pPr>
      <w:r>
        <w:t>此外，如果软件有更新，打开软件可自动更新安装</w:t>
      </w:r>
    </w:p>
    <w:p>
      <w:pPr>
        <w:pStyle w:val="Para 3"/>
      </w:pPr>
      <w:r>
        <w:t xml:space="preserve"> </w:t>
      </w:r>
    </w:p>
    <w:p>
      <w:bookmarkStart w:id="9" w:name="Top_of_4099_html"/>
      <w:pPr>
        <w:pStyle w:val="Heading 1"/>
        <w:pageBreakBefore w:val="on"/>
      </w:pPr>
      <w:r>
        <w:t>软件相关介绍</w:t>
      </w:r>
      <w:bookmarkEnd w:id="9"/>
    </w:p>
    <w:p>
      <w:bookmarkStart w:id="10" w:name="page_content_1"/>
      <w:pPr>
        <w:pStyle w:val="Para 3"/>
      </w:pPr>
      <w:r>
        <w:t/>
      </w:r>
      <w:bookmarkEnd w:id="10"/>
    </w:p>
    <w:p>
      <w:bookmarkStart w:id="11" w:name="Top_of_4100_html"/>
      <w:pPr>
        <w:pStyle w:val="Heading 1"/>
        <w:pageBreakBefore w:val="on"/>
      </w:pPr>
      <w:r>
        <w:t>新建项目</w:t>
      </w:r>
      <w:bookmarkEnd w:id="11"/>
    </w:p>
    <w:p>
      <w:bookmarkStart w:id="12" w:name="page_content_2"/>
      <w:pPr>
        <w:pStyle w:val="Para 3"/>
      </w:pPr>
      <w:r>
        <w:t/>
      </w:r>
      <w:bookmarkEnd w:id="12"/>
    </w:p>
    <w:p>
      <w:bookmarkStart w:id="13" w:name="Top_of_4101_html"/>
      <w:pPr>
        <w:pStyle w:val="Heading 1"/>
        <w:pageBreakBefore w:val="on"/>
      </w:pPr>
      <w:r>
        <w:t>登录软件</w:t>
      </w:r>
      <w:bookmarkEnd w:id="13"/>
    </w:p>
    <w:p>
      <w:bookmarkStart w:id="14" w:name="Jin_Ru_Ruan_Jian_Qian_Xu_Cha_Sha"/>
      <w:pPr>
        <w:pStyle w:val="Para 3"/>
      </w:pPr>
      <w:r>
        <w:t/>
      </w:r>
      <w:bookmarkEnd w:id="14"/>
    </w:p>
    <w:p>
      <w:pPr>
        <w:pStyle w:val="Normal"/>
      </w:pPr>
      <w:r>
        <w:t>进入软件前需插上购买的加密锁</w:t>
      </w:r>
    </w:p>
    <w:p>
      <w:pPr>
        <w:pStyle w:val="Normal"/>
      </w:pPr>
      <w:r>
        <w:t>软件默认自动读取用户名和密码</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426200"/>
            <wp:effectExtent b="0" l="0" r="0" t="0"/>
            <wp:wrapTopAndBottom/>
            <wp:docPr descr="m_12df7c4fc8c2fd4926fe1864a8d0a7fb_r.jpg" id="5" name="m_12df7c4fc8c2fd4926fe1864a8d0a7fb_r.jpg"/>
            <wp:cNvGraphicFramePr>
              <a:graphicFrameLocks noChangeAspect="1"/>
            </wp:cNvGraphicFramePr>
            <a:graphic>
              <a:graphicData uri="http://schemas.openxmlformats.org/drawingml/2006/picture">
                <pic:pic>
                  <pic:nvPicPr>
                    <pic:cNvPr descr="m_12df7c4fc8c2fd4926fe1864a8d0a7fb_r.jpg" id="0" name="m_12df7c4fc8c2fd4926fe1864a8d0a7fb_r.jpg"/>
                    <pic:cNvPicPr/>
                  </pic:nvPicPr>
                  <pic:blipFill>
                    <a:blip r:embed="rId9"/>
                    <a:stretch>
                      <a:fillRect/>
                    </a:stretch>
                  </pic:blipFill>
                  <pic:spPr>
                    <a:xfrm>
                      <a:off x="0" y="0"/>
                      <a:ext cx="5727700" cy="6426200"/>
                    </a:xfrm>
                    <a:prstGeom prst="rect">
                      <a:avLst/>
                    </a:prstGeom>
                  </pic:spPr>
                </pic:pic>
              </a:graphicData>
            </a:graphic>
          </wp:anchor>
        </w:drawing>
      </w:r>
    </w:p>
    <w:p>
      <w:pPr>
        <w:pStyle w:val="Normal"/>
      </w:pPr>
      <w:r>
        <w:t>点击登录，即可进入回标分析系统界面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384800" cy="8851900"/>
            <wp:effectExtent b="0" l="0" r="0" t="0"/>
            <wp:wrapTopAndBottom/>
            <wp:docPr descr="m_14dd731f09055727a04d551dd4f46e22_r.jpg" id="6" name="m_14dd731f09055727a04d551dd4f46e22_r.jpg"/>
            <wp:cNvGraphicFramePr>
              <a:graphicFrameLocks noChangeAspect="1"/>
            </wp:cNvGraphicFramePr>
            <a:graphic>
              <a:graphicData uri="http://schemas.openxmlformats.org/drawingml/2006/picture">
                <pic:pic>
                  <pic:nvPicPr>
                    <pic:cNvPr descr="m_14dd731f09055727a04d551dd4f46e22_r.jpg" id="0" name="m_14dd731f09055727a04d551dd4f46e22_r.jpg"/>
                    <pic:cNvPicPr/>
                  </pic:nvPicPr>
                  <pic:blipFill>
                    <a:blip r:embed="rId10"/>
                    <a:stretch>
                      <a:fillRect/>
                    </a:stretch>
                  </pic:blipFill>
                  <pic:spPr>
                    <a:xfrm>
                      <a:off x="0" y="0"/>
                      <a:ext cx="5384800" cy="8851900"/>
                    </a:xfrm>
                    <a:prstGeom prst="rect">
                      <a:avLst/>
                    </a:prstGeom>
                  </pic:spPr>
                </pic:pic>
              </a:graphicData>
            </a:graphic>
          </wp:anchor>
        </w:drawing>
      </w:r>
    </w:p>
    <w:p>
      <w:pPr>
        <w:pStyle w:val="Para 3"/>
      </w:pPr>
      <w:r>
        <w:t xml:space="preserve"> </w:t>
      </w:r>
    </w:p>
    <w:p>
      <w:bookmarkStart w:id="15" w:name="Top_of_4102_html"/>
      <w:pPr>
        <w:pStyle w:val="Heading 1"/>
        <w:pageBreakBefore w:val="on"/>
      </w:pPr>
      <w:r>
        <w:t>新建项目</w:t>
      </w:r>
      <w:bookmarkEnd w:id="15"/>
    </w:p>
    <w:p>
      <w:bookmarkStart w:id="16" w:name="Jin_Ru_Ruan_Jian_Hou__Dian_Ji_Yo"/>
      <w:pPr>
        <w:pStyle w:val="Para 3"/>
      </w:pPr>
      <w:r>
        <w:t/>
      </w:r>
      <w:bookmarkEnd w:id="16"/>
    </w:p>
    <w:p>
      <w:pPr>
        <w:pStyle w:val="Normal"/>
      </w:pPr>
      <w:r>
        <w:t>进入软件后，点击右上角的【新建】可进行新建项目：</w:t>
        <w:drawing>
          <wp:inline>
            <wp:extent cx="2413000" cy="647700"/>
            <wp:effectExtent b="0" l="0" r="0" t="0"/>
            <wp:docPr descr="m_2f048306428b1f07e6fb6ef049b40698_r.jpg" id="7" name="m_2f048306428b1f07e6fb6ef049b40698_r.jpg"/>
            <wp:cNvGraphicFramePr>
              <a:graphicFrameLocks noChangeAspect="1"/>
            </wp:cNvGraphicFramePr>
            <a:graphic>
              <a:graphicData uri="http://schemas.openxmlformats.org/drawingml/2006/picture">
                <pic:pic>
                  <pic:nvPicPr>
                    <pic:cNvPr descr="m_2f048306428b1f07e6fb6ef049b40698_r.jpg" id="0" name="m_2f048306428b1f07e6fb6ef049b40698_r.jpg"/>
                    <pic:cNvPicPr/>
                  </pic:nvPicPr>
                  <pic:blipFill>
                    <a:blip r:embed="rId11"/>
                    <a:stretch>
                      <a:fillRect/>
                    </a:stretch>
                  </pic:blipFill>
                  <pic:spPr>
                    <a:xfrm>
                      <a:off x="0" y="0"/>
                      <a:ext cx="2413000" cy="647700"/>
                    </a:xfrm>
                    <a:prstGeom prst="rect">
                      <a:avLst/>
                    </a:prstGeom>
                  </pic:spPr>
                </pic:pic>
              </a:graphicData>
            </a:graphic>
          </wp:inline>
        </w:drawing>
      </w:r>
    </w:p>
    <w:p>
      <w:pPr>
        <w:pStyle w:val="Normal"/>
      </w:pPr>
      <w:r>
        <w:t>选择生成好的招投标文件</w:t>
      </w:r>
    </w:p>
    <w:p>
      <w:pPr>
        <w:pStyle w:val="Normal"/>
      </w:pPr>
      <w:r>
        <w:t>根据项目，选择对应的合同类型</w:t>
      </w:r>
    </w:p>
    <w:p>
      <w:pPr>
        <w:pStyle w:val="Normal"/>
      </w:pPr>
      <w:r>
        <w:t>点击确定后，根据最新的评标办法对项目进行符合性检查分析、清单报价甄别分析、合理最低价分析。</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362700"/>
            <wp:effectExtent b="0" l="0" r="0" t="0"/>
            <wp:wrapTopAndBottom/>
            <wp:docPr descr="m_8c1defe78a07fd0523d461882de9e5db_r.jpg" id="8" name="m_8c1defe78a07fd0523d461882de9e5db_r.jpg"/>
            <wp:cNvGraphicFramePr>
              <a:graphicFrameLocks noChangeAspect="1"/>
            </wp:cNvGraphicFramePr>
            <a:graphic>
              <a:graphicData uri="http://schemas.openxmlformats.org/drawingml/2006/picture">
                <pic:pic>
                  <pic:nvPicPr>
                    <pic:cNvPr descr="m_8c1defe78a07fd0523d461882de9e5db_r.jpg" id="0" name="m_8c1defe78a07fd0523d461882de9e5db_r.jpg"/>
                    <pic:cNvPicPr/>
                  </pic:nvPicPr>
                  <pic:blipFill>
                    <a:blip r:embed="rId12"/>
                    <a:stretch>
                      <a:fillRect/>
                    </a:stretch>
                  </pic:blipFill>
                  <pic:spPr>
                    <a:xfrm>
                      <a:off x="0" y="0"/>
                      <a:ext cx="5727700" cy="63627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413000" cy="647700"/>
            <wp:effectExtent b="0" l="0" r="0" t="0"/>
            <wp:wrapTopAndBottom/>
            <wp:docPr descr="m_7559a2284f2e18a24d1b967bda37bd6e_r.jpg" id="9" name="m_7559a2284f2e18a24d1b967bda37bd6e_r.jpg"/>
            <wp:cNvGraphicFramePr>
              <a:graphicFrameLocks noChangeAspect="1"/>
            </wp:cNvGraphicFramePr>
            <a:graphic>
              <a:graphicData uri="http://schemas.openxmlformats.org/drawingml/2006/picture">
                <pic:pic>
                  <pic:nvPicPr>
                    <pic:cNvPr descr="m_7559a2284f2e18a24d1b967bda37bd6e_r.jpg" id="0" name="m_7559a2284f2e18a24d1b967bda37bd6e_r.jpg"/>
                    <pic:cNvPicPr/>
                  </pic:nvPicPr>
                  <pic:blipFill>
                    <a:blip r:embed="rId13"/>
                    <a:stretch>
                      <a:fillRect/>
                    </a:stretch>
                  </pic:blipFill>
                  <pic:spPr>
                    <a:xfrm>
                      <a:off x="0" y="0"/>
                      <a:ext cx="2413000" cy="647700"/>
                    </a:xfrm>
                    <a:prstGeom prst="rect">
                      <a:avLst/>
                    </a:prstGeom>
                  </pic:spPr>
                </pic:pic>
              </a:graphicData>
            </a:graphic>
          </wp:anchor>
        </w:drawing>
      </w:r>
    </w:p>
    <w:p>
      <w:pPr>
        <w:pStyle w:val="Normal"/>
      </w:pPr>
      <w:r>
        <w:t>打开：查看以往分析过的文件</w:t>
      </w:r>
    </w:p>
    <w:p>
      <w:pPr>
        <w:pStyle w:val="Normal"/>
      </w:pPr>
      <w:r>
        <w:t>搜索项目（报建编号、标段号、项目名称的模糊查询）并选择项目后，进行项目的查看</w:t>
      </w:r>
    </w:p>
    <w:p>
      <w:pPr>
        <w:pStyle w:val="Para 3"/>
      </w:pPr>
      <w:r>
        <w:t xml:space="preserve"> </w:t>
      </w:r>
    </w:p>
    <w:p>
      <w:bookmarkStart w:id="17" w:name="Top_of_4103_html"/>
      <w:pPr>
        <w:pStyle w:val="Heading 1"/>
        <w:pageBreakBefore w:val="on"/>
      </w:pPr>
      <w:r>
        <w:t>符合性检查分析</w:t>
      </w:r>
      <w:bookmarkEnd w:id="17"/>
    </w:p>
    <w:p>
      <w:bookmarkStart w:id="18" w:name="Fu_He_Xing_Jian_Cha_Fen_Xi__An_Z"/>
      <w:pPr>
        <w:pStyle w:val="Para 3"/>
      </w:pPr>
      <w:r>
        <w:t/>
      </w:r>
      <w:bookmarkEnd w:id="18"/>
    </w:p>
    <w:p>
      <w:pPr>
        <w:pStyle w:val="Normal"/>
      </w:pPr>
      <w:r>
        <w:t>符合性检查分析：按照商务标报价的否决投标条款规则，对投标报价进行检查分析。</w:t>
      </w:r>
    </w:p>
    <w:p>
      <w:pPr>
        <w:pStyle w:val="Normal"/>
      </w:pPr>
      <w:r>
        <w:t>符合性检查包含：最高限价检查、暂估价暂列金额检查、税率检查、暂估价材料检查。</w:t>
      </w:r>
    </w:p>
    <w:p>
      <w:pPr>
        <w:pStyle w:val="Normal"/>
      </w:pPr>
      <w:r>
        <w:t>注：</w:t>
      </w:r>
    </w:p>
    <w:p>
      <w:pPr>
        <w:pStyle w:val="Normal"/>
      </w:pPr>
      <w:r>
        <w:t>1、 软件中所有问题项，会以红色字体标示出来</w:t>
      </w:r>
    </w:p>
    <w:p>
      <w:pPr>
        <w:pStyle w:val="Normal"/>
      </w:pPr>
      <w:r>
        <w:t>2、 由于软件所见即所得的功能，所有你当前页面查看的报表，都可以直接点击【预览】按钮，支持当前</w:t>
      </w:r>
    </w:p>
    <w:p>
      <w:pPr>
        <w:pStyle w:val="Normal"/>
      </w:pPr>
      <w:r>
        <w:t>界面打印预览或导出成常用格式</w:t>
      </w:r>
    </w:p>
    <w:p>
      <w:pPr>
        <w:pStyle w:val="Normal"/>
      </w:pPr>
      <w:r>
        <w:drawing>
          <wp:inline>
            <wp:extent cx="2413000" cy="647700"/>
            <wp:effectExtent b="0" l="0" r="0" t="0"/>
            <wp:docPr descr="m_d7d886244f7d7fe95f83c5fe67f7c535_r.jpg" id="10" name="m_d7d886244f7d7fe95f83c5fe67f7c535_r.jpg"/>
            <wp:cNvGraphicFramePr>
              <a:graphicFrameLocks noChangeAspect="1"/>
            </wp:cNvGraphicFramePr>
            <a:graphic>
              <a:graphicData uri="http://schemas.openxmlformats.org/drawingml/2006/picture">
                <pic:pic>
                  <pic:nvPicPr>
                    <pic:cNvPr descr="m_d7d886244f7d7fe95f83c5fe67f7c535_r.jpg" id="0" name="m_d7d886244f7d7fe95f83c5fe67f7c535_r.jpg"/>
                    <pic:cNvPicPr/>
                  </pic:nvPicPr>
                  <pic:blipFill>
                    <a:blip r:embed="rId14"/>
                    <a:stretch>
                      <a:fillRect/>
                    </a:stretch>
                  </pic:blipFill>
                  <pic:spPr>
                    <a:xfrm>
                      <a:off x="0" y="0"/>
                      <a:ext cx="2413000" cy="647700"/>
                    </a:xfrm>
                    <a:prstGeom prst="rect">
                      <a:avLst/>
                    </a:prstGeom>
                  </pic:spPr>
                </pic:pic>
              </a:graphicData>
            </a:graphic>
          </wp:inline>
        </w:drawing>
      </w:r>
      <w:r>
        <w:rPr>
          <w:lang w:bidi="zh" w:eastAsia="zh" w:val="zh"/>
        </w:rPr>
        <w:t>预览：预览当前页面。可进行导出、打印。 返回：返回至主界面。</w:t>
      </w:r>
    </w:p>
    <w:p>
      <w:pPr>
        <w:pStyle w:val="Normal"/>
      </w:pPr>
      <w:r>
        <w:t>进入符合性检查分析，勾选要分析的投标单位，点击右上角的开始分析，输入最高限价，开始分析</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37200" cy="8851900"/>
            <wp:effectExtent b="0" l="0" r="0" t="0"/>
            <wp:wrapTopAndBottom/>
            <wp:docPr descr="m_6acaffbaab3a8896bf3d11f4801613e9_r.jpg" id="11" name="m_6acaffbaab3a8896bf3d11f4801613e9_r.jpg"/>
            <wp:cNvGraphicFramePr>
              <a:graphicFrameLocks noChangeAspect="1"/>
            </wp:cNvGraphicFramePr>
            <a:graphic>
              <a:graphicData uri="http://schemas.openxmlformats.org/drawingml/2006/picture">
                <pic:pic>
                  <pic:nvPicPr>
                    <pic:cNvPr descr="m_6acaffbaab3a8896bf3d11f4801613e9_r.jpg" id="0" name="m_6acaffbaab3a8896bf3d11f4801613e9_r.jpg"/>
                    <pic:cNvPicPr/>
                  </pic:nvPicPr>
                  <pic:blipFill>
                    <a:blip r:embed="rId15"/>
                    <a:stretch>
                      <a:fillRect/>
                    </a:stretch>
                  </pic:blipFill>
                  <pic:spPr>
                    <a:xfrm>
                      <a:off x="0" y="0"/>
                      <a:ext cx="5537200" cy="8851900"/>
                    </a:xfrm>
                    <a:prstGeom prst="rect">
                      <a:avLst/>
                    </a:prstGeom>
                  </pic:spPr>
                </pic:pic>
              </a:graphicData>
            </a:graphic>
          </wp:anchor>
        </w:drawing>
      </w:r>
    </w:p>
    <w:p>
      <w:pPr>
        <w:pStyle w:val="Normal"/>
      </w:pPr>
      <w:r>
        <w:t>分析成功后，符合性检查不通过的投标单位会标注不通过</w:t>
      </w:r>
    </w:p>
    <w:p>
      <w:pPr>
        <w:pStyle w:val="Normal"/>
      </w:pPr>
      <w:r>
        <w:t>点击左上角的符合性分析通过，即可勾选出通过的投标单位</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37200" cy="8851900"/>
            <wp:effectExtent b="0" l="0" r="0" t="0"/>
            <wp:wrapTopAndBottom/>
            <wp:docPr descr="m_fafc5244d03fb5f39bcf03323c062201_r.jpg" id="12" name="m_fafc5244d03fb5f39bcf03323c062201_r.jpg"/>
            <wp:cNvGraphicFramePr>
              <a:graphicFrameLocks noChangeAspect="1"/>
            </wp:cNvGraphicFramePr>
            <a:graphic>
              <a:graphicData uri="http://schemas.openxmlformats.org/drawingml/2006/picture">
                <pic:pic>
                  <pic:nvPicPr>
                    <pic:cNvPr descr="m_fafc5244d03fb5f39bcf03323c062201_r.jpg" id="0" name="m_fafc5244d03fb5f39bcf03323c062201_r.jpg"/>
                    <pic:cNvPicPr/>
                  </pic:nvPicPr>
                  <pic:blipFill>
                    <a:blip r:embed="rId16"/>
                    <a:stretch>
                      <a:fillRect/>
                    </a:stretch>
                  </pic:blipFill>
                  <pic:spPr>
                    <a:xfrm>
                      <a:off x="0" y="0"/>
                      <a:ext cx="5537200" cy="8851900"/>
                    </a:xfrm>
                    <a:prstGeom prst="rect">
                      <a:avLst/>
                    </a:prstGeom>
                  </pic:spPr>
                </pic:pic>
              </a:graphicData>
            </a:graphic>
          </wp:anchor>
        </w:drawing>
      </w:r>
    </w:p>
    <w:p>
      <w:pPr>
        <w:numPr>
          <w:ilvl w:val="0"/>
          <w:numId w:val="6"/>
        </w:numPr>
        <w:pStyle w:val="Para 4"/>
      </w:pPr>
      <w:r>
        <w:t>最高限价检查：检查投标单位的商务标是否超最高限价。</w:t>
      </w:r>
    </w:p>
    <w:p>
      <w:pPr>
        <w:pStyle w:val="Normal"/>
      </w:pPr>
      <w:r>
        <w:t>如果超最高限价，则该投标单位行红色字体显示，分析结果不通过。</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37200" cy="8851900"/>
            <wp:effectExtent b="0" l="0" r="0" t="0"/>
            <wp:wrapTopAndBottom/>
            <wp:docPr descr="m_20984fddd8529abbdbd1377c957c766e_r.jpg" id="13" name="m_20984fddd8529abbdbd1377c957c766e_r.jpg"/>
            <wp:cNvGraphicFramePr>
              <a:graphicFrameLocks noChangeAspect="1"/>
            </wp:cNvGraphicFramePr>
            <a:graphic>
              <a:graphicData uri="http://schemas.openxmlformats.org/drawingml/2006/picture">
                <pic:pic>
                  <pic:nvPicPr>
                    <pic:cNvPr descr="m_20984fddd8529abbdbd1377c957c766e_r.jpg" id="0" name="m_20984fddd8529abbdbd1377c957c766e_r.jpg"/>
                    <pic:cNvPicPr/>
                  </pic:nvPicPr>
                  <pic:blipFill>
                    <a:blip r:embed="rId17"/>
                    <a:stretch>
                      <a:fillRect/>
                    </a:stretch>
                  </pic:blipFill>
                  <pic:spPr>
                    <a:xfrm>
                      <a:off x="0" y="0"/>
                      <a:ext cx="5537200" cy="8851900"/>
                    </a:xfrm>
                    <a:prstGeom prst="rect">
                      <a:avLst/>
                    </a:prstGeom>
                  </pic:spPr>
                </pic:pic>
              </a:graphicData>
            </a:graphic>
          </wp:anchor>
        </w:drawing>
      </w:r>
    </w:p>
    <w:p>
      <w:pPr>
        <w:numPr>
          <w:ilvl w:val="0"/>
          <w:numId w:val="4"/>
        </w:numPr>
        <w:pStyle w:val="Para 4"/>
      </w:pPr>
      <w:r>
        <w:t>暂估价暂列金额检查：检查投标单位是否改变招标文件中的暂估价、暂列金额或者工程量内容!</w:t>
      </w:r>
    </w:p>
    <w:p>
      <w:pPr>
        <w:pStyle w:val="Normal"/>
      </w:pPr>
      <w:r>
        <w:t>如果改变，则该投标单位行红色字体显示，并标注不符合数量项，点击查看可查看明细数据。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37200" cy="8851900"/>
            <wp:effectExtent b="0" l="0" r="0" t="0"/>
            <wp:wrapTopAndBottom/>
            <wp:docPr descr="m_d81952aaded6f0b037c4ea155721f18b_r.jpg" id="14" name="m_d81952aaded6f0b037c4ea155721f18b_r.jpg"/>
            <wp:cNvGraphicFramePr>
              <a:graphicFrameLocks noChangeAspect="1"/>
            </wp:cNvGraphicFramePr>
            <a:graphic>
              <a:graphicData uri="http://schemas.openxmlformats.org/drawingml/2006/picture">
                <pic:pic>
                  <pic:nvPicPr>
                    <pic:cNvPr descr="m_d81952aaded6f0b037c4ea155721f18b_r.jpg" id="0" name="m_d81952aaded6f0b037c4ea155721f18b_r.jpg"/>
                    <pic:cNvPicPr/>
                  </pic:nvPicPr>
                  <pic:blipFill>
                    <a:blip r:embed="rId18"/>
                    <a:stretch>
                      <a:fillRect/>
                    </a:stretch>
                  </pic:blipFill>
                  <pic:spPr>
                    <a:xfrm>
                      <a:off x="0" y="0"/>
                      <a:ext cx="5537200" cy="8851900"/>
                    </a:xfrm>
                    <a:prstGeom prst="rect">
                      <a:avLst/>
                    </a:prstGeom>
                  </pic:spPr>
                </pic:pic>
              </a:graphicData>
            </a:graphic>
          </wp:anchor>
        </w:drawing>
      </w:r>
    </w:p>
    <w:p>
      <w:pPr>
        <w:numPr>
          <w:ilvl w:val="0"/>
          <w:numId w:val="5"/>
        </w:numPr>
        <w:pStyle w:val="Para 4"/>
      </w:pPr>
      <w:r>
        <w:t>税率检查：检查投标单位设置的税率是否和招标文件一致。</w:t>
      </w:r>
    </w:p>
    <w:p>
      <w:pPr>
        <w:pStyle w:val="Normal"/>
      </w:pPr>
      <w:r>
        <w:t>如果不一致，则该投标单位行红色字体显示，并标注不符合数量项，点击查看可查看明细数据。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37200" cy="8851900"/>
            <wp:effectExtent b="0" l="0" r="0" t="0"/>
            <wp:wrapTopAndBottom/>
            <wp:docPr descr="m_918241d3346c4f89b945e606d28b616f_r.jpg" id="15" name="m_918241d3346c4f89b945e606d28b616f_r.jpg"/>
            <wp:cNvGraphicFramePr>
              <a:graphicFrameLocks noChangeAspect="1"/>
            </wp:cNvGraphicFramePr>
            <a:graphic>
              <a:graphicData uri="http://schemas.openxmlformats.org/drawingml/2006/picture">
                <pic:pic>
                  <pic:nvPicPr>
                    <pic:cNvPr descr="m_918241d3346c4f89b945e606d28b616f_r.jpg" id="0" name="m_918241d3346c4f89b945e606d28b616f_r.jpg"/>
                    <pic:cNvPicPr/>
                  </pic:nvPicPr>
                  <pic:blipFill>
                    <a:blip r:embed="rId19"/>
                    <a:stretch>
                      <a:fillRect/>
                    </a:stretch>
                  </pic:blipFill>
                  <pic:spPr>
                    <a:xfrm>
                      <a:off x="0" y="0"/>
                      <a:ext cx="5537200" cy="8851900"/>
                    </a:xfrm>
                    <a:prstGeom prst="rect">
                      <a:avLst/>
                    </a:prstGeom>
                  </pic:spPr>
                </pic:pic>
              </a:graphicData>
            </a:graphic>
          </wp:anchor>
        </w:drawing>
      </w:r>
    </w:p>
    <w:p>
      <w:pPr>
        <w:numPr>
          <w:ilvl w:val="0"/>
          <w:numId w:val="3"/>
        </w:numPr>
        <w:pStyle w:val="Para 4"/>
      </w:pPr>
      <w:r>
        <w:t>暂估价材料检查：检查投标单位的暂估价材料是否响应招标文件。</w:t>
      </w:r>
    </w:p>
    <w:p>
      <w:pPr>
        <w:pStyle w:val="Normal"/>
      </w:pPr>
      <w:r>
        <w:t>如果未响应，则该投标单位行红色字体显示，并标注不符合数量项，点击查看可查看明细数据。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37200" cy="8851900"/>
            <wp:effectExtent b="0" l="0" r="0" t="0"/>
            <wp:wrapTopAndBottom/>
            <wp:docPr descr="m_b53d42398b83b2a470f3a1002fddc0f3_r.jpg" id="16" name="m_b53d42398b83b2a470f3a1002fddc0f3_r.jpg"/>
            <wp:cNvGraphicFramePr>
              <a:graphicFrameLocks noChangeAspect="1"/>
            </wp:cNvGraphicFramePr>
            <a:graphic>
              <a:graphicData uri="http://schemas.openxmlformats.org/drawingml/2006/picture">
                <pic:pic>
                  <pic:nvPicPr>
                    <pic:cNvPr descr="m_b53d42398b83b2a470f3a1002fddc0f3_r.jpg" id="0" name="m_b53d42398b83b2a470f3a1002fddc0f3_r.jpg"/>
                    <pic:cNvPicPr/>
                  </pic:nvPicPr>
                  <pic:blipFill>
                    <a:blip r:embed="rId20"/>
                    <a:stretch>
                      <a:fillRect/>
                    </a:stretch>
                  </pic:blipFill>
                  <pic:spPr>
                    <a:xfrm>
                      <a:off x="0" y="0"/>
                      <a:ext cx="5537200" cy="8851900"/>
                    </a:xfrm>
                    <a:prstGeom prst="rect">
                      <a:avLst/>
                    </a:prstGeom>
                  </pic:spPr>
                </pic:pic>
              </a:graphicData>
            </a:graphic>
          </wp:anchor>
        </w:drawing>
      </w:r>
    </w:p>
    <w:p>
      <w:pPr>
        <w:pStyle w:val="Para 3"/>
      </w:pPr>
      <w:r>
        <w:t xml:space="preserve"> </w:t>
      </w:r>
    </w:p>
    <w:p>
      <w:bookmarkStart w:id="19" w:name="Top_of_4104_html"/>
      <w:pPr>
        <w:pStyle w:val="Heading 1"/>
        <w:pageBreakBefore w:val="on"/>
      </w:pPr>
      <w:r>
        <w:t>清单报价甄别分析</w:t>
      </w:r>
      <w:bookmarkEnd w:id="19"/>
    </w:p>
    <w:p>
      <w:bookmarkStart w:id="20" w:name="Qing_Dan_Bao_Jia_Zhen_Bie_Fen_Xi"/>
      <w:pPr>
        <w:pStyle w:val="Para 3"/>
      </w:pPr>
      <w:r>
        <w:t/>
      </w:r>
      <w:bookmarkEnd w:id="20"/>
    </w:p>
    <w:p>
      <w:pPr>
        <w:pStyle w:val="Normal"/>
      </w:pPr>
      <w:r>
        <w:t>清单报价甄别分析：按照设定的分析规则，对投标报价中分部分项工程量清单报价进行偏差分析。</w:t>
      </w:r>
    </w:p>
    <w:p>
      <w:pPr>
        <w:pStyle w:val="Normal"/>
      </w:pPr>
      <w:r>
        <w:t>*.对于进入报价甄别的投标人，计算分部分项清单各子目所有投标人的子目评审价的算术平均值，并由高到</w:t>
      </w:r>
    </w:p>
    <w:p>
      <w:pPr>
        <w:pStyle w:val="Normal"/>
      </w:pPr>
      <w:r>
        <w:t>低排序，取前30%的子目为甄别项，计算每项各投标人分部分项清单子目评审价与其对应算术平均值相对偏</w:t>
      </w:r>
    </w:p>
    <w:p>
      <w:pPr>
        <w:pStyle w:val="Normal"/>
      </w:pPr>
      <w:r>
        <w:t>差的绝对值，大于M的认定为异常报价项。异常报价情况纳入商务标得分计算。</w:t>
      </w:r>
    </w:p>
    <w:p>
      <w:pPr>
        <w:pStyle w:val="Normal"/>
      </w:pPr>
      <w:r>
        <w:t>M取值范围为30%-40%，具体比例由招标人在招标文件中明确。</w:t>
      </w:r>
    </w:p>
    <w:p>
      <w:pPr>
        <w:pStyle w:val="Normal"/>
      </w:pPr>
      <w:r>
        <w:t>异常报价情况纳入商务标得分计算。</w:t>
      </w:r>
    </w:p>
    <w:p>
      <w:pPr>
        <w:pStyle w:val="Normal"/>
      </w:pPr>
      <w:r>
        <w:t>注：</w:t>
      </w:r>
    </w:p>
    <w:p>
      <w:pPr>
        <w:pStyle w:val="Normal"/>
      </w:pPr>
      <w:r>
        <w:t>1、 软件中所有问题项，会以红色字体标示出来</w:t>
      </w:r>
    </w:p>
    <w:p>
      <w:pPr>
        <w:pStyle w:val="Normal"/>
      </w:pPr>
      <w:r>
        <w:t>2、 由于软件所见即所得的功能，所有你当前页面查看的报表，都可以直接点击【预览】按钮，支持当前</w:t>
      </w:r>
    </w:p>
    <w:p>
      <w:pPr>
        <w:pStyle w:val="Normal"/>
      </w:pPr>
      <w:r>
        <w:t>界面打印预览或导出成常用格式</w:t>
      </w:r>
    </w:p>
    <w:p>
      <w:pPr>
        <w:pStyle w:val="Normal"/>
      </w:pPr>
      <w:r>
        <w:t xml:space="preserve">进入清单报价甄别分析，勾选符合性通过的投标单位，点击右上角的开始分析，输入超出基准值百分百，开始分析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37200" cy="8851900"/>
            <wp:effectExtent b="0" l="0" r="0" t="0"/>
            <wp:wrapTopAndBottom/>
            <wp:docPr descr="m_07b1dc32866942a6b9cdabc29351416c_r.jpg" id="17" name="m_07b1dc32866942a6b9cdabc29351416c_r.jpg"/>
            <wp:cNvGraphicFramePr>
              <a:graphicFrameLocks noChangeAspect="1"/>
            </wp:cNvGraphicFramePr>
            <a:graphic>
              <a:graphicData uri="http://schemas.openxmlformats.org/drawingml/2006/picture">
                <pic:pic>
                  <pic:nvPicPr>
                    <pic:cNvPr descr="m_07b1dc32866942a6b9cdabc29351416c_r.jpg" id="0" name="m_07b1dc32866942a6b9cdabc29351416c_r.jpg"/>
                    <pic:cNvPicPr/>
                  </pic:nvPicPr>
                  <pic:blipFill>
                    <a:blip r:embed="rId21"/>
                    <a:stretch>
                      <a:fillRect/>
                    </a:stretch>
                  </pic:blipFill>
                  <pic:spPr>
                    <a:xfrm>
                      <a:off x="0" y="0"/>
                      <a:ext cx="5537200" cy="8851900"/>
                    </a:xfrm>
                    <a:prstGeom prst="rect">
                      <a:avLst/>
                    </a:prstGeom>
                  </pic:spPr>
                </pic:pic>
              </a:graphicData>
            </a:graphic>
          </wp:anchor>
        </w:drawing>
      </w:r>
    </w:p>
    <w:p>
      <w:pPr>
        <w:pStyle w:val="Normal"/>
      </w:pPr>
      <w:r>
        <w:t>分析成功后，报价甄别列会显示每家投标单位的异常数量</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37200" cy="8851900"/>
            <wp:effectExtent b="0" l="0" r="0" t="0"/>
            <wp:wrapTopAndBottom/>
            <wp:docPr descr="m_9b139521e0cbc2be3fca8461893c878c_r.jpg" id="18" name="m_9b139521e0cbc2be3fca8461893c878c_r.jpg"/>
            <wp:cNvGraphicFramePr>
              <a:graphicFrameLocks noChangeAspect="1"/>
            </wp:cNvGraphicFramePr>
            <a:graphic>
              <a:graphicData uri="http://schemas.openxmlformats.org/drawingml/2006/picture">
                <pic:pic>
                  <pic:nvPicPr>
                    <pic:cNvPr descr="m_9b139521e0cbc2be3fca8461893c878c_r.jpg" id="0" name="m_9b139521e0cbc2be3fca8461893c878c_r.jpg"/>
                    <pic:cNvPicPr/>
                  </pic:nvPicPr>
                  <pic:blipFill>
                    <a:blip r:embed="rId22"/>
                    <a:stretch>
                      <a:fillRect/>
                    </a:stretch>
                  </pic:blipFill>
                  <pic:spPr>
                    <a:xfrm>
                      <a:off x="0" y="0"/>
                      <a:ext cx="5537200" cy="8851900"/>
                    </a:xfrm>
                    <a:prstGeom prst="rect">
                      <a:avLst/>
                    </a:prstGeom>
                  </pic:spPr>
                </pic:pic>
              </a:graphicData>
            </a:graphic>
          </wp:anchor>
        </w:drawing>
      </w:r>
    </w:p>
    <w:p>
      <w:pPr>
        <w:pStyle w:val="Normal"/>
      </w:pPr>
      <w:r>
        <w:t>报价初步甄别结果：显示甄别数量项、异常报价项上限，以及每一家投标单位的异常报价项数量。</w:t>
      </w:r>
    </w:p>
    <w:p>
      <w:pPr>
        <w:pStyle w:val="Normal"/>
      </w:pPr>
      <w:r>
        <w:t>甄别不通过的投标单位以红色字体显示</w:t>
      </w:r>
    </w:p>
    <w:p>
      <w:pPr>
        <w:pStyle w:val="Normal"/>
      </w:pPr>
      <w:r>
        <w:t>异常报价项，甄别结论标注异常报价，并以红色字体显示。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37200" cy="8851900"/>
            <wp:effectExtent b="0" l="0" r="0" t="0"/>
            <wp:wrapTopAndBottom/>
            <wp:docPr descr="m_e4a1ec77b893f80e73f9e1370374213a_r.jpg" id="19" name="m_e4a1ec77b893f80e73f9e1370374213a_r.jpg"/>
            <wp:cNvGraphicFramePr>
              <a:graphicFrameLocks noChangeAspect="1"/>
            </wp:cNvGraphicFramePr>
            <a:graphic>
              <a:graphicData uri="http://schemas.openxmlformats.org/drawingml/2006/picture">
                <pic:pic>
                  <pic:nvPicPr>
                    <pic:cNvPr descr="m_e4a1ec77b893f80e73f9e1370374213a_r.jpg" id="0" name="m_e4a1ec77b893f80e73f9e1370374213a_r.jpg"/>
                    <pic:cNvPicPr/>
                  </pic:nvPicPr>
                  <pic:blipFill>
                    <a:blip r:embed="rId23"/>
                    <a:stretch>
                      <a:fillRect/>
                    </a:stretch>
                  </pic:blipFill>
                  <pic:spPr>
                    <a:xfrm>
                      <a:off x="0" y="0"/>
                      <a:ext cx="5537200" cy="8851900"/>
                    </a:xfrm>
                    <a:prstGeom prst="rect">
                      <a:avLst/>
                    </a:prstGeom>
                  </pic:spPr>
                </pic:pic>
              </a:graphicData>
            </a:graphic>
          </wp:anchor>
        </w:drawing>
      </w:r>
    </w:p>
    <w:p>
      <w:pPr>
        <w:pStyle w:val="Para 3"/>
      </w:pPr>
      <w:r>
        <w:t xml:space="preserve"> </w:t>
      </w:r>
    </w:p>
    <w:p>
      <w:bookmarkStart w:id="21" w:name="Top_of_4105_html"/>
      <w:pPr>
        <w:pStyle w:val="Heading 1"/>
        <w:pageBreakBefore w:val="on"/>
      </w:pPr>
      <w:r>
        <w:t>合理最低价分析</w:t>
      </w:r>
      <w:bookmarkEnd w:id="21"/>
    </w:p>
    <w:p>
      <w:bookmarkStart w:id="22" w:name="He_Li_Zui_Di_Jia_Fen_Xi__An_Zhao"/>
      <w:pPr>
        <w:pStyle w:val="Para 3"/>
      </w:pPr>
      <w:r>
        <w:t/>
      </w:r>
      <w:bookmarkEnd w:id="22"/>
    </w:p>
    <w:p>
      <w:pPr>
        <w:pStyle w:val="Normal"/>
      </w:pPr>
      <w:r>
        <w:t>合理最低价分析：按照用户设定的计算规则计算合理最低价，并将投标报价与合理最低价进行对比分析。</w:t>
      </w:r>
    </w:p>
    <w:p>
      <w:pPr>
        <w:pStyle w:val="Normal"/>
      </w:pPr>
      <w:r>
        <w:t>合理低价和各投标人的评标评审价按照采用单价合同或者总价合同的不同方式进行确定。</w:t>
      </w:r>
    </w:p>
    <w:p>
      <w:pPr>
        <w:pStyle w:val="Normal"/>
      </w:pPr>
      <w:r>
        <w:t>投标报价下浮率范围为 3%-8%，计算P的剔除比例范围为20%-30%，计算Q的剔除比例范围为10%-20%。</w:t>
      </w:r>
    </w:p>
    <w:p>
      <w:pPr>
        <w:pStyle w:val="Normal"/>
      </w:pPr>
      <w:r>
        <w:t>上述百分率均在开标时由系统随机确定。</w:t>
      </w:r>
    </w:p>
    <w:p>
      <w:pPr>
        <w:pStyle w:val="Normal"/>
      </w:pPr>
      <w:r>
        <w:t>注：</w:t>
      </w:r>
    </w:p>
    <w:p>
      <w:pPr>
        <w:pStyle w:val="Normal"/>
      </w:pPr>
      <w:r>
        <w:t>1、 软件中所有问题项，会以红色字体标示出来</w:t>
      </w:r>
    </w:p>
    <w:p>
      <w:pPr>
        <w:pStyle w:val="Normal"/>
      </w:pPr>
      <w:r>
        <w:t>2、 由于软件所见即所得的功能，所有你当前页面查看的报表，都可以直接点击【预览】按钮，支持当前</w:t>
      </w:r>
    </w:p>
    <w:p>
      <w:pPr>
        <w:pStyle w:val="Normal"/>
      </w:pPr>
      <w:r>
        <w:t>界面打印预览或导出成常用格式</w:t>
      </w:r>
    </w:p>
    <w:p>
      <w:pPr>
        <w:pStyle w:val="Normal"/>
      </w:pPr>
      <w:r>
        <w:t xml:space="preserve">进入合理最低价分析，勾选符合性通过的投标单位，点击右上角的开始分析，输入剔除最高报价百分比、剔除最低报价百分比和下浮率，开始分析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384800" cy="8851900"/>
            <wp:effectExtent b="0" l="0" r="0" t="0"/>
            <wp:wrapTopAndBottom/>
            <wp:docPr descr="m_a9981945ce03b56b3c09b3f7927f2ec8_r.jpg" id="20" name="m_a9981945ce03b56b3c09b3f7927f2ec8_r.jpg"/>
            <wp:cNvGraphicFramePr>
              <a:graphicFrameLocks noChangeAspect="1"/>
            </wp:cNvGraphicFramePr>
            <a:graphic>
              <a:graphicData uri="http://schemas.openxmlformats.org/drawingml/2006/picture">
                <pic:pic>
                  <pic:nvPicPr>
                    <pic:cNvPr descr="m_a9981945ce03b56b3c09b3f7927f2ec8_r.jpg" id="0" name="m_a9981945ce03b56b3c09b3f7927f2ec8_r.jpg"/>
                    <pic:cNvPicPr/>
                  </pic:nvPicPr>
                  <pic:blipFill>
                    <a:blip r:embed="rId24"/>
                    <a:stretch>
                      <a:fillRect/>
                    </a:stretch>
                  </pic:blipFill>
                  <pic:spPr>
                    <a:xfrm>
                      <a:off x="0" y="0"/>
                      <a:ext cx="5384800" cy="8851900"/>
                    </a:xfrm>
                    <a:prstGeom prst="rect">
                      <a:avLst/>
                    </a:prstGeom>
                  </pic:spPr>
                </pic:pic>
              </a:graphicData>
            </a:graphic>
          </wp:anchor>
        </w:drawing>
      </w:r>
    </w:p>
    <w:p>
      <w:pPr>
        <w:pStyle w:val="Normal"/>
      </w:pPr>
      <w:r>
        <w:t>分析成功后，可以查看计算结果、分部分项对比、措施项目对比、其他项目对比</w:t>
      </w:r>
    </w:p>
    <w:p>
      <w:pPr>
        <w:numPr>
          <w:ilvl w:val="0"/>
          <w:numId w:val="7"/>
        </w:numPr>
        <w:pStyle w:val="Para 4"/>
      </w:pPr>
      <w:r>
        <w:t>计算结果：评审价低于合理最低价的投标单位以红色字体显示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584700"/>
            <wp:effectExtent b="0" l="0" r="0" t="0"/>
            <wp:wrapTopAndBottom/>
            <wp:docPr descr="m_fd0bcfe4aaf0e7dabffeb4b1a98ff174_r.jpg" id="21" name="m_fd0bcfe4aaf0e7dabffeb4b1a98ff174_r.jpg"/>
            <wp:cNvGraphicFramePr>
              <a:graphicFrameLocks noChangeAspect="1"/>
            </wp:cNvGraphicFramePr>
            <a:graphic>
              <a:graphicData uri="http://schemas.openxmlformats.org/drawingml/2006/picture">
                <pic:pic>
                  <pic:nvPicPr>
                    <pic:cNvPr descr="m_fd0bcfe4aaf0e7dabffeb4b1a98ff174_r.jpg" id="0" name="m_fd0bcfe4aaf0e7dabffeb4b1a98ff174_r.jpg"/>
                    <pic:cNvPicPr/>
                  </pic:nvPicPr>
                  <pic:blipFill>
                    <a:blip r:embed="rId25"/>
                    <a:stretch>
                      <a:fillRect/>
                    </a:stretch>
                  </pic:blipFill>
                  <pic:spPr>
                    <a:xfrm>
                      <a:off x="0" y="0"/>
                      <a:ext cx="5727700" cy="4584700"/>
                    </a:xfrm>
                    <a:prstGeom prst="rect">
                      <a:avLst/>
                    </a:prstGeom>
                  </pic:spPr>
                </pic:pic>
              </a:graphicData>
            </a:graphic>
          </wp:anchor>
        </w:drawing>
      </w:r>
    </w:p>
    <w:p>
      <w:pPr>
        <w:numPr>
          <w:ilvl w:val="0"/>
          <w:numId w:val="2"/>
        </w:numPr>
        <w:pStyle w:val="Para 4"/>
      </w:pPr>
      <w:r>
        <w:t>分部分项对比查看</w:t>
      </w:r>
    </w:p>
    <w:p>
      <w:pPr>
        <w:pStyle w:val="Normal"/>
      </w:pPr>
      <w:r>
        <w:t>项目结构可展开至单分部节点，可切换查看综合单价分析表</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813800"/>
            <wp:effectExtent b="0" l="0" r="0" t="0"/>
            <wp:wrapTopAndBottom/>
            <wp:docPr descr="m_959e1ad1fbfd0bc3351a49b5cd57aeea_r.jpg" id="22" name="m_959e1ad1fbfd0bc3351a49b5cd57aeea_r.jpg"/>
            <wp:cNvGraphicFramePr>
              <a:graphicFrameLocks noChangeAspect="1"/>
            </wp:cNvGraphicFramePr>
            <a:graphic>
              <a:graphicData uri="http://schemas.openxmlformats.org/drawingml/2006/picture">
                <pic:pic>
                  <pic:nvPicPr>
                    <pic:cNvPr descr="m_959e1ad1fbfd0bc3351a49b5cd57aeea_r.jpg" id="0" name="m_959e1ad1fbfd0bc3351a49b5cd57aeea_r.jpg"/>
                    <pic:cNvPicPr/>
                  </pic:nvPicPr>
                  <pic:blipFill>
                    <a:blip r:embed="rId26"/>
                    <a:stretch>
                      <a:fillRect/>
                    </a:stretch>
                  </pic:blipFill>
                  <pic:spPr>
                    <a:xfrm>
                      <a:off x="0" y="0"/>
                      <a:ext cx="5727700" cy="8813800"/>
                    </a:xfrm>
                    <a:prstGeom prst="rect">
                      <a:avLst/>
                    </a:prstGeom>
                  </pic:spPr>
                </pic:pic>
              </a:graphicData>
            </a:graphic>
          </wp:anchor>
        </w:drawing>
      </w:r>
    </w:p>
    <w:p>
      <w:pPr>
        <w:numPr>
          <w:ilvl w:val="0"/>
          <w:numId w:val="1"/>
        </w:numPr>
        <w:pStyle w:val="Para 4"/>
      </w:pPr>
      <w:r>
        <w:t>措施项目对比查看</w:t>
      </w:r>
    </w:p>
    <w:p>
      <w:pPr>
        <w:pStyle w:val="Normal"/>
      </w:pPr>
      <w:r>
        <w:t>项目结构可展开至单分部节点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953000"/>
            <wp:effectExtent b="0" l="0" r="0" t="0"/>
            <wp:wrapTopAndBottom/>
            <wp:docPr descr="m_55a3d96a3d4ee57d56a8c794ef17b874_r.jpg" id="23" name="m_55a3d96a3d4ee57d56a8c794ef17b874_r.jpg"/>
            <wp:cNvGraphicFramePr>
              <a:graphicFrameLocks noChangeAspect="1"/>
            </wp:cNvGraphicFramePr>
            <a:graphic>
              <a:graphicData uri="http://schemas.openxmlformats.org/drawingml/2006/picture">
                <pic:pic>
                  <pic:nvPicPr>
                    <pic:cNvPr descr="m_55a3d96a3d4ee57d56a8c794ef17b874_r.jpg" id="0" name="m_55a3d96a3d4ee57d56a8c794ef17b874_r.jpg"/>
                    <pic:cNvPicPr/>
                  </pic:nvPicPr>
                  <pic:blipFill>
                    <a:blip r:embed="rId27"/>
                    <a:stretch>
                      <a:fillRect/>
                    </a:stretch>
                  </pic:blipFill>
                  <pic:spPr>
                    <a:xfrm>
                      <a:off x="0" y="0"/>
                      <a:ext cx="5727700" cy="4953000"/>
                    </a:xfrm>
                    <a:prstGeom prst="rect">
                      <a:avLst/>
                    </a:prstGeom>
                  </pic:spPr>
                </pic:pic>
              </a:graphicData>
            </a:graphic>
          </wp:anchor>
        </w:drawing>
      </w:r>
    </w:p>
    <w:p>
      <w:pPr>
        <w:numPr>
          <w:ilvl w:val="0"/>
          <w:numId w:val="8"/>
        </w:numPr>
        <w:pStyle w:val="Para 4"/>
      </w:pPr>
      <w:r>
        <w:t>其他项目对比查看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927600"/>
            <wp:effectExtent b="0" l="0" r="0" t="0"/>
            <wp:wrapTopAndBottom/>
            <wp:docPr descr="m_69be2298b341f1784f55e59bef70c9b2_r.jpg" id="24" name="m_69be2298b341f1784f55e59bef70c9b2_r.jpg"/>
            <wp:cNvGraphicFramePr>
              <a:graphicFrameLocks noChangeAspect="1"/>
            </wp:cNvGraphicFramePr>
            <a:graphic>
              <a:graphicData uri="http://schemas.openxmlformats.org/drawingml/2006/picture">
                <pic:pic>
                  <pic:nvPicPr>
                    <pic:cNvPr descr="m_69be2298b341f1784f55e59bef70c9b2_r.jpg" id="0" name="m_69be2298b341f1784f55e59bef70c9b2_r.jpg"/>
                    <pic:cNvPicPr/>
                  </pic:nvPicPr>
                  <pic:blipFill>
                    <a:blip r:embed="rId28"/>
                    <a:stretch>
                      <a:fillRect/>
                    </a:stretch>
                  </pic:blipFill>
                  <pic:spPr>
                    <a:xfrm>
                      <a:off x="0" y="0"/>
                      <a:ext cx="5727700" cy="4927600"/>
                    </a:xfrm>
                    <a:prstGeom prst="rect">
                      <a:avLst/>
                    </a:prstGeom>
                  </pic:spPr>
                </pic:pic>
              </a:graphicData>
            </a:graphic>
          </wp:anchor>
        </w:drawing>
      </w:r>
    </w:p>
    <w:p>
      <w:pPr>
        <w:pStyle w:val="Para 3"/>
      </w:pPr>
      <w:r>
        <w:t xml:space="preserve"> </w:t>
      </w:r>
    </w:p>
    <w:sectPr>
      <w:pgSz w:w="11905" w:h="16837"/>
      <w:pgMar w:bottom="1440" w:top="1440" w:right="1440" w:left="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tyles.xml><?xml version="1.0" encoding="utf-8"?>
<w:styles xmlns:w="http://schemas.openxmlformats.org/wordprocessingml/2006/main">
  <w:docDefaults>
    <w:rPrDefault>
      <w:rPr>
        <w:rFonts w:asciiTheme="minorHAnsi" w:cstheme="minorBidi" w:hAnsiTheme="minorHAnsi" w:eastAsiaTheme="minorEastAsia"/>
        <w:sz w:val="22"/>
        <w:szCs w:val="22"/>
        <w:lang w:val="zh" w:eastAsia="zh" w:bidi="zh"/>
      </w:rPr>
    </w:rPrDefault>
    <w:pPrDefault>
      <w:pPr>
        <w:spacing w:lineRule="auto" w:after="0" w:line="276"/>
      </w:pPr>
    </w:pPrDefault>
  </w:docDefaults>
  <w:style w:styleId="Normal" w:type="paragraph" w:default="1">
    <w:name w:val="Normal"/>
    <w:qFormat/>
    <w:pPr>
      <w:spacing w:after="230"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1" w:type="paragraph">
    <w:name w:val="Heading 1"/>
    <w:qFormat/>
    <w:basedOn w:val="Normal"/>
    <w:pPr>
      <w:spacing w:after="216" w:before="216" w:line="576" w:lineRule="atLeast"/>
      <w:shd w:color="auto" w:fill="FFFFFF" w:val="clear"/>
      <w:outlineLvl w:val="1"/>
    </w:pPr>
    <w:rPr>
      <w:rFonts w:ascii="Helvetica Neue" w:cs="Helvetica Neue" w:eastAsia="Helvetica Neue" w:hAnsi="Helvetica Neue"/>
      <w:sz w:val="48"/>
      <w:szCs w:val="48"/>
      <w:color w:val="222222"/>
    </w:rPr>
  </w:style>
  <w:style w:styleId="Para 2" w:type="paragraph">
    <w:name w:val="Para 2"/>
    <w:qFormat/>
    <w:basedOn w:val="Normal"/>
    <w:pPr>
      <w:spacing w:after="0" w:line="324" w:lineRule="atLeast"/>
    </w:pPr>
    <w:rPr>
      <w:rFonts w:ascii="Cambria" w:cs="Cambria" w:eastAsia="Cambria" w:hAnsi="Cambria"/>
      <w:sz w:val="27"/>
      <w:szCs w:val="27"/>
      <w:color w:val="0000FF"/>
      <w:u w:val="single"/>
    </w:rPr>
  </w:style>
  <w:style w:styleId="Para 3" w:type="paragraph">
    <w:name w:val="Para 3"/>
    <w:qFormat/>
    <w:basedOn w:val="Normal"/>
    <w:pPr>
      <w:spacing w:after="0"/>
      <w:shd w:color="auto" w:fill="FFFFFF"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4" w:type="paragraph">
    <w:name w:val="Para 4"/>
    <w:qFormat/>
    <w:basedOn w:val="Normal"/>
    <w:pPr>
      <w:spacing w:after="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5" w:type="paragraph">
    <w:name w:val="Para 5"/>
    <w:qFormat/>
    <w:basedOn w:val="Normal"/>
    <w:pPr>
      <w:spacing w:after="0" w:line="576" w:lineRule="atLeast"/>
      <w:jc w:val="center"/>
    </w:pPr>
    <w:rPr>
      <w:rFonts w:ascii="Cambria" w:cs="Cambria" w:eastAsia="Cambria" w:hAnsi="Cambria"/>
      <w:sz w:val="48"/>
      <w:szCs w:val="48"/>
      <w:b w:val="on"/>
      <w:bCs w:val="on"/>
      <w:color w:val="000000"/>
    </w:rPr>
  </w:style>
  <w:style w:styleId="Text0" w:type="character">
    <w:name w:val="0 Text"/>
    <w:rPr>
      <w:color w:val="0000FF"/>
      <w:u w:val="single"/>
    </w:rPr>
  </w:style>
  <w:style w:styleId="0 Block" w:type="paragraph">
    <w:name w:val="0 Block"/>
    <w:pPr>
      <w:spacing w:line="324" w:lineRule="atLeast"/>
      <w:jc w:val="lef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webSettings.xml" Id="rId3" Type="http://schemas.openxmlformats.org/officeDocument/2006/relationships/webSettings"/><Relationship Target="media/m_d7d886244f7d7fe95f83c5fe67f7c535_r.jpeg" Id="rId14" Type="http://schemas.openxmlformats.org/officeDocument/2006/relationships/image"/><Relationship Target="media/m_b53d42398b83b2a470f3a1002fddc0f3_r.jpeg" Id="rId20" Type="http://schemas.openxmlformats.org/officeDocument/2006/relationships/image"/><Relationship Target="media/m_8c1defe78a07fd0523d461882de9e5db_r.jpeg" Id="rId12" Type="http://schemas.openxmlformats.org/officeDocument/2006/relationships/image"/><Relationship Target="media/m_0b71919951e452347feba4d697ba1b55_r.jpeg" Id="rId7" Type="http://schemas.openxmlformats.org/officeDocument/2006/relationships/image"/><Relationship Target="numbering.xml" Id="rId2" Type="http://schemas.openxmlformats.org/officeDocument/2006/relationships/numbering"/><Relationship Target="media/m_a9981945ce03b56b3c09b3f7927f2ec8_r.jpeg" Id="rId24" Type="http://schemas.openxmlformats.org/officeDocument/2006/relationships/image"/><Relationship Target="fontTable.xml" Id="rId1" Type="http://schemas.openxmlformats.org/officeDocument/2006/relationships/fontTable"/><Relationship Target="media/m_d81952aaded6f0b037c4ea155721f18b_r.jpeg" Id="rId18" Type="http://schemas.openxmlformats.org/officeDocument/2006/relationships/image"/><Relationship Target="media/m_4d98c3e5f5e1469966c20bb843ecc005_r.jpeg" Id="rId6" Type="http://schemas.openxmlformats.org/officeDocument/2006/relationships/image"/><Relationship Target="media/m_12df7c4fc8c2fd4926fe1864a8d0a7fb_r.jpeg" Id="rId9" Type="http://schemas.openxmlformats.org/officeDocument/2006/relationships/image"/><Relationship Target="media/m_20984fddd8529abbdbd1377c957c766e_r.jpeg" Id="rId17" Type="http://schemas.openxmlformats.org/officeDocument/2006/relationships/image"/><Relationship Target="http://www.geekray.cn" Id="rId29" Type="http://schemas.openxmlformats.org/officeDocument/2006/relationships/hyperlink" TargetMode="External"/><Relationship Target="media/m_e4a1ec77b893f80e73f9e1370374213a_r.jpeg" Id="rId23" Type="http://schemas.openxmlformats.org/officeDocument/2006/relationships/image"/><Relationship Target="media/m_4cd44971309a41bbb6ce72a6623ae384_r.jpeg" Id="rId5" Type="http://schemas.openxmlformats.org/officeDocument/2006/relationships/image"/><Relationship Target="media/m_2f048306428b1f07e6fb6ef049b40698_r.jpeg" Id="rId11" Type="http://schemas.openxmlformats.org/officeDocument/2006/relationships/image"/><Relationship Target="media/m_14dd731f09055727a04d551dd4f46e22_r.jpeg" Id="rId10" Type="http://schemas.openxmlformats.org/officeDocument/2006/relationships/image"/><Relationship Target="media/m_9b139521e0cbc2be3fca8461893c878c_r.jpeg" Id="rId22" Type="http://schemas.openxmlformats.org/officeDocument/2006/relationships/image"/><Relationship Target="media/m_959e1ad1fbfd0bc3351a49b5cd57aeea_r.jpeg" Id="rId26" Type="http://schemas.openxmlformats.org/officeDocument/2006/relationships/image"/><Relationship Target="media/m_7559a2284f2e18a24d1b967bda37bd6e_r.jpeg" Id="rId13" Type="http://schemas.openxmlformats.org/officeDocument/2006/relationships/image"/><Relationship Target="media/m_918241d3346c4f89b945e606d28b616f_r.jpeg" Id="rId19" Type="http://schemas.openxmlformats.org/officeDocument/2006/relationships/image"/><Relationship Target="media/m_55a3d96a3d4ee57d56a8c794ef17b874_r.jpeg" Id="rId27" Type="http://schemas.openxmlformats.org/officeDocument/2006/relationships/image"/><Relationship Target="media/m_fafc5244d03fb5f39bcf03323c062201_r.jpeg" Id="rId16" Type="http://schemas.openxmlformats.org/officeDocument/2006/relationships/image"/><Relationship Target="media/m_6acaffbaab3a8896bf3d11f4801613e9_r.jpeg" Id="rId15" Type="http://schemas.openxmlformats.org/officeDocument/2006/relationships/image"/><Relationship Target="media/m_07b1dc32866942a6b9cdabc29351416c_r.jpeg" Id="rId21" Type="http://schemas.openxmlformats.org/officeDocument/2006/relationships/image"/><Relationship Target="media/m_69be2298b341f1784f55e59bef70c9b2_r.jpeg" Id="rId28" Type="http://schemas.openxmlformats.org/officeDocument/2006/relationships/image"/><Relationship Target="media/m_fd0bcfe4aaf0e7dabffeb4b1a98ff174_r.jpeg" Id="rId25" Type="http://schemas.openxmlformats.org/officeDocument/2006/relationships/image"/><Relationship Target="styles.xml" Id="rId4" Type="http://schemas.openxmlformats.org/officeDocument/2006/relationships/styles"/><Relationship Target="media/m_fea19caf4913460e7f440a0796dc3e2d_r.jpeg" Id="rId8" Type="http://schemas.openxmlformats.org/officeDocument/2006/relationships/image"/></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2024-12-03T04:19:41Z</dcterms:created>
  <dcterms:modified xsi:type="dcterms:W3CDTF">2024-12-03T04:19:41Z</dcterms:modified>
  <dc:title>回标分析（清单通用版）</dc:title>
  <dc:creator>Unknown</dc:creator>
  <dc:language>zh</dc:language>
</cp:coreProperties>
</file>