
<file path=[Content_Types].xml><?xml version="1.0" encoding="utf-8"?>
<Types xmlns="http://schemas.openxmlformats.org/package/2006/content-types">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endnotes+xml" PartName="/word/endnote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styles+xml" PartName="/word/styles.xml"/>
  <Override ContentType="application/vnd.openxmlformats-officedocument.wordprocessingml.settings+xml" PartName="/word/settings.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footnotes+xml" PartName="/word/footnotes.xml"/>
  <Override ContentType="application/vnd.openxmlformats-officedocument.wordprocessingml.webSettings+xml" PartName="/word/webSettings.xml"/>
  <Default ContentType="image/svg+xml" Extension="svg"/>
  <Default ContentType="application/xml" Extension="xml"/>
  <Default ContentType="image/jpeg" Extension="jpeg"/>
  <Default ContentType="image/gif" Extension="gif"/>
  <Default ContentType="image/jpeg" Extension="jpg"/>
  <Default ContentType="image/png" Extension="png"/>
  <Default ContentType="application/vnd.openxmlformats-officedocument.obfuscatedFont" Extension="odttf"/>
  <Default ContentType="application/vnd.openxmlformats-package.relationships+xml" Extension="rels"/>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a="http://schemas.openxmlformats.org/drawingml/2006/main" xmlns:pic="http://schemas.openxmlformats.org/drawingml/2006/picture" xmlns:r="http://schemas.openxmlformats.org/officeDocument/2006/relationships" xmlns:w="http://schemas.openxmlformats.org/wordprocessingml/2006/main" xmlns:wp="http://schemas.openxmlformats.org/drawingml/2006/wordprocessingDrawing">
  <w:body>
    <w:p>
      <w:pPr>
        <w:pStyle w:val="Para 6"/>
        <w:pageBreakBefore w:val="off"/>
      </w:pPr>
      <w:r>
        <w:t>目    录</w:t>
      </w:r>
    </w:p>
    <w:p>
      <w:pPr>
        <w:pStyle w:val="Para 2"/>
      </w:pPr>
      <w:hyperlink w:anchor="Top_of_216_html">
        <w:r>
          <w:t>软件安装</w:t>
        </w:r>
      </w:hyperlink>
    </w:p>
    <w:p>
      <w:pPr>
        <w:pStyle w:val="Para 2"/>
      </w:pPr>
      <w:hyperlink w:anchor="Top_of_217_html">
        <w:r>
          <w:t>环境要求</w:t>
        </w:r>
      </w:hyperlink>
    </w:p>
    <w:p>
      <w:pPr>
        <w:pStyle w:val="0 Block"/>
      </w:pPr>
    </w:p>
    <w:p>
      <w:pPr>
        <w:pStyle w:val="Para 2"/>
      </w:pPr>
      <w:hyperlink w:anchor="Top_of_218_html">
        <w:r>
          <w:t>安装步骤</w:t>
        </w:r>
      </w:hyperlink>
    </w:p>
    <w:p>
      <w:pPr>
        <w:pStyle w:val="0 Block"/>
      </w:pPr>
    </w:p>
    <w:p>
      <w:pPr>
        <w:pStyle w:val="Para 2"/>
      </w:pPr>
      <w:hyperlink w:anchor="Top_of_219_html">
        <w:r>
          <w:t>运行软件</w:t>
        </w:r>
      </w:hyperlink>
    </w:p>
    <w:p>
      <w:pPr>
        <w:pStyle w:val="0 Block"/>
      </w:pPr>
    </w:p>
    <w:p>
      <w:pPr>
        <w:pStyle w:val="Para 2"/>
      </w:pPr>
      <w:hyperlink w:anchor="Top_of_220_html">
        <w:r>
          <w:t>软件相关介绍</w:t>
        </w:r>
      </w:hyperlink>
    </w:p>
    <w:p>
      <w:pPr>
        <w:pStyle w:val="Para 2"/>
      </w:pPr>
      <w:hyperlink w:anchor="Top_of_222_html">
        <w:r>
          <w:t>新建标书</w:t>
        </w:r>
      </w:hyperlink>
    </w:p>
    <w:p>
      <w:pPr>
        <w:pStyle w:val="Para 2"/>
      </w:pPr>
      <w:hyperlink w:anchor="Top_of_223_html">
        <w:r>
          <w:t>进入软件</w:t>
        </w:r>
      </w:hyperlink>
    </w:p>
    <w:p>
      <w:pPr>
        <w:pStyle w:val="Para 2"/>
      </w:pPr>
      <w:hyperlink w:anchor="Top_of_224_html">
        <w:r>
          <w:t>新建项目</w:t>
        </w:r>
      </w:hyperlink>
    </w:p>
    <w:p>
      <w:pPr>
        <w:pStyle w:val="Para 2"/>
      </w:pPr>
      <w:hyperlink w:anchor="Top_of_221_html">
        <w:r>
          <w:t>项目概况</w:t>
        </w:r>
      </w:hyperlink>
    </w:p>
    <w:p>
      <w:pPr>
        <w:pStyle w:val="0 Block"/>
      </w:pPr>
    </w:p>
    <w:p>
      <w:pPr>
        <w:pStyle w:val="Para 2"/>
      </w:pPr>
      <w:hyperlink w:anchor="Top_of_226_html">
        <w:r>
          <w:t>项目汇总表</w:t>
        </w:r>
      </w:hyperlink>
    </w:p>
    <w:p>
      <w:pPr>
        <w:pStyle w:val="0 Block"/>
      </w:pPr>
    </w:p>
    <w:p>
      <w:pPr>
        <w:pStyle w:val="Para 2"/>
      </w:pPr>
      <w:hyperlink w:anchor="Top_of_227_html">
        <w:r>
          <w:t>分部分项工程</w:t>
        </w:r>
      </w:hyperlink>
    </w:p>
    <w:p>
      <w:pPr>
        <w:pStyle w:val="Para 2"/>
      </w:pPr>
      <w:hyperlink w:anchor="Top_of_228_html">
        <w:r>
          <w:t>分部分项主界面</w:t>
        </w:r>
      </w:hyperlink>
    </w:p>
    <w:p>
      <w:pPr>
        <w:pStyle w:val="Para 2"/>
      </w:pPr>
      <w:hyperlink w:anchor="Top_of_232_html">
        <w:r>
          <w:t>选择组价方案</w:t>
        </w:r>
      </w:hyperlink>
    </w:p>
    <w:p>
      <w:pPr>
        <w:pStyle w:val="Para 2"/>
      </w:pPr>
      <w:hyperlink w:anchor="Top_of_233_html">
        <w:r>
          <w:t>清单行右键功能</w:t>
        </w:r>
      </w:hyperlink>
    </w:p>
    <w:p>
      <w:pPr>
        <w:pStyle w:val="Para 2"/>
      </w:pPr>
      <w:hyperlink w:anchor="Top_of_234_html">
        <w:r>
          <w:t>清单行基本操作</w:t>
        </w:r>
      </w:hyperlink>
    </w:p>
    <w:p>
      <w:pPr>
        <w:pStyle w:val="0 Block"/>
      </w:pPr>
    </w:p>
    <w:p>
      <w:pPr>
        <w:pStyle w:val="Para 2"/>
      </w:pPr>
      <w:hyperlink w:anchor="Top_of_235_html">
        <w:r>
          <w:t>替换组价</w:t>
        </w:r>
      </w:hyperlink>
    </w:p>
    <w:p>
      <w:pPr>
        <w:pStyle w:val="0 Block"/>
      </w:pPr>
    </w:p>
    <w:p>
      <w:pPr>
        <w:pStyle w:val="Para 2"/>
      </w:pPr>
      <w:hyperlink w:anchor="Top_of_237_html">
        <w:r>
          <w:t>定额行右键功能</w:t>
        </w:r>
      </w:hyperlink>
    </w:p>
    <w:p>
      <w:pPr>
        <w:pStyle w:val="Para 2"/>
      </w:pPr>
      <w:hyperlink w:anchor="Top_of_238_html">
        <w:r>
          <w:t>定额行基本操作</w:t>
        </w:r>
      </w:hyperlink>
    </w:p>
    <w:p>
      <w:pPr>
        <w:pStyle w:val="0 Block"/>
      </w:pPr>
    </w:p>
    <w:p>
      <w:pPr>
        <w:pStyle w:val="Para 2"/>
      </w:pPr>
      <w:hyperlink w:anchor="Top_of_239_html">
        <w:r>
          <w:t>定额换算</w:t>
        </w:r>
      </w:hyperlink>
    </w:p>
    <w:p>
      <w:pPr>
        <w:pStyle w:val="0 Block"/>
      </w:pPr>
    </w:p>
    <w:p>
      <w:pPr>
        <w:pStyle w:val="Para 2"/>
      </w:pPr>
      <w:hyperlink w:anchor="Top_of_240_html">
        <w:r>
          <w:t>分部分项导航</w:t>
        </w:r>
      </w:hyperlink>
    </w:p>
    <w:p>
      <w:pPr>
        <w:pStyle w:val="Para 2"/>
      </w:pPr>
      <w:hyperlink w:anchor="Top_of_241_html">
        <w:r>
          <w:t>分部分项工料机导航栏</w:t>
        </w:r>
      </w:hyperlink>
    </w:p>
    <w:p>
      <w:pPr>
        <w:pStyle w:val="Para 2"/>
      </w:pPr>
      <w:hyperlink w:anchor="Top_of_242_html">
        <w:r>
          <w:t>措施项目</w:t>
        </w:r>
      </w:hyperlink>
    </w:p>
    <w:p>
      <w:pPr>
        <w:pStyle w:val="Para 2"/>
      </w:pPr>
      <w:hyperlink w:anchor="Top_of_243_html">
        <w:r>
          <w:t>总价措施</w:t>
        </w:r>
      </w:hyperlink>
    </w:p>
    <w:p>
      <w:pPr>
        <w:pStyle w:val="Para 2"/>
      </w:pPr>
      <w:hyperlink w:anchor="Top_of_244_html">
        <w:r>
          <w:t>单价措施</w:t>
        </w:r>
      </w:hyperlink>
    </w:p>
    <w:p>
      <w:pPr>
        <w:pStyle w:val="Para 2"/>
      </w:pPr>
      <w:hyperlink w:anchor="Top_of_245_html">
        <w:r>
          <w:t>其他项目</w:t>
        </w:r>
      </w:hyperlink>
    </w:p>
    <w:p>
      <w:pPr>
        <w:pStyle w:val="0 Block"/>
      </w:pPr>
    </w:p>
    <w:p>
      <w:pPr>
        <w:pStyle w:val="Para 2"/>
      </w:pPr>
      <w:hyperlink w:anchor="Top_of_246_html">
        <w:r>
          <w:t>规费税金</w:t>
        </w:r>
      </w:hyperlink>
    </w:p>
    <w:p>
      <w:pPr>
        <w:pStyle w:val="0 Block"/>
      </w:pPr>
    </w:p>
    <w:p>
      <w:pPr>
        <w:pStyle w:val="Para 2"/>
      </w:pPr>
      <w:hyperlink w:anchor="Top_of_247_html">
        <w:r>
          <w:t>工料机汇总</w:t>
        </w:r>
      </w:hyperlink>
    </w:p>
    <w:p>
      <w:pPr>
        <w:pStyle w:val="Para 2"/>
      </w:pPr>
      <w:hyperlink w:anchor="Top_of_248_html">
        <w:r>
          <w:t>工料机汇总</w:t>
        </w:r>
      </w:hyperlink>
    </w:p>
    <w:p>
      <w:pPr>
        <w:pStyle w:val="Para 2"/>
      </w:pPr>
      <w:hyperlink w:anchor="Top_of_249_html">
        <w:r>
          <w:t>工料机汇总右键菜单</w:t>
        </w:r>
      </w:hyperlink>
    </w:p>
    <w:p>
      <w:pPr>
        <w:pStyle w:val="Para 2"/>
      </w:pPr>
      <w:hyperlink w:anchor="Top_of_250_html">
        <w:r>
          <w:t>费率设置</w:t>
        </w:r>
      </w:hyperlink>
    </w:p>
    <w:p>
      <w:pPr>
        <w:pStyle w:val="0 Block"/>
      </w:pPr>
    </w:p>
    <w:p>
      <w:pPr>
        <w:pStyle w:val="Para 2"/>
      </w:pPr>
      <w:hyperlink w:anchor="Top_of_251_html">
        <w:r>
          <w:t>导航菜单功能</w:t>
        </w:r>
      </w:hyperlink>
    </w:p>
    <w:p>
      <w:pPr>
        <w:pStyle w:val="Para 2"/>
      </w:pPr>
      <w:hyperlink w:anchor="Top_of_252_html">
        <w:r>
          <w:t>智能组价</w:t>
        </w:r>
      </w:hyperlink>
    </w:p>
    <w:p>
      <w:pPr>
        <w:pStyle w:val="Para 2"/>
      </w:pPr>
      <w:hyperlink w:anchor="Top_of_253_html">
        <w:r>
          <w:t xml:space="preserve"> 复用组价</w:t>
        </w:r>
      </w:hyperlink>
    </w:p>
    <w:p>
      <w:pPr>
        <w:pStyle w:val="Para 2"/>
      </w:pPr>
      <w:hyperlink w:anchor="Top_of_254_html">
        <w:r>
          <w:t>合并组价</w:t>
        </w:r>
      </w:hyperlink>
    </w:p>
    <w:p>
      <w:pPr>
        <w:pStyle w:val="0 Block"/>
      </w:pPr>
    </w:p>
    <w:p>
      <w:pPr>
        <w:pStyle w:val="Para 2"/>
      </w:pPr>
      <w:hyperlink w:anchor="Top_of_255_html">
        <w:r>
          <w:t>清单匹配导入</w:t>
        </w:r>
      </w:hyperlink>
    </w:p>
    <w:p>
      <w:pPr>
        <w:pStyle w:val="0 Block"/>
      </w:pPr>
    </w:p>
    <w:p>
      <w:pPr>
        <w:pStyle w:val="Para 2"/>
      </w:pPr>
      <w:hyperlink w:anchor="Top_of_256_html">
        <w:r>
          <w:t>项目调价</w:t>
        </w:r>
      </w:hyperlink>
    </w:p>
    <w:p>
      <w:pPr>
        <w:pStyle w:val="Para 2"/>
      </w:pPr>
      <w:hyperlink w:anchor="Top_of_257_html">
        <w:r>
          <w:t>目标调价</w:t>
        </w:r>
      </w:hyperlink>
    </w:p>
    <w:p>
      <w:pPr>
        <w:pStyle w:val="0 Block"/>
      </w:pPr>
    </w:p>
    <w:p>
      <w:pPr>
        <w:pStyle w:val="Para 2"/>
      </w:pPr>
      <w:hyperlink w:anchor="Top_of_258_html">
        <w:r>
          <w:t>系数调价</w:t>
        </w:r>
      </w:hyperlink>
    </w:p>
    <w:p>
      <w:pPr>
        <w:pStyle w:val="0 Block"/>
      </w:pPr>
    </w:p>
    <w:p>
      <w:pPr>
        <w:pStyle w:val="Para 2"/>
      </w:pPr>
      <w:hyperlink w:anchor="Top_of_2160_html">
        <w:r>
          <w:t>参考控制价</w:t>
        </w:r>
      </w:hyperlink>
    </w:p>
    <w:p>
      <w:pPr>
        <w:pStyle w:val="0 Block"/>
      </w:pPr>
    </w:p>
    <w:p>
      <w:pPr>
        <w:pStyle w:val="Para 2"/>
      </w:pPr>
      <w:hyperlink w:anchor="Top_of_259_html">
        <w:r>
          <w:t>检查</w:t>
        </w:r>
      </w:hyperlink>
    </w:p>
    <w:p>
      <w:pPr>
        <w:pStyle w:val="Para 2"/>
      </w:pPr>
      <w:hyperlink w:anchor="Top_of_260_html">
        <w:r>
          <w:t>生成标书</w:t>
        </w:r>
      </w:hyperlink>
    </w:p>
    <w:p>
      <w:pPr>
        <w:pStyle w:val="Para 2"/>
      </w:pPr>
      <w:hyperlink w:anchor="Top_of_289_html">
        <w:r>
          <w:t>报表</w:t>
        </w:r>
      </w:hyperlink>
    </w:p>
    <w:p>
      <w:pPr>
        <w:pStyle w:val="Para 2"/>
      </w:pPr>
      <w:hyperlink w:anchor="Top_of_261_html">
        <w:r>
          <w:t>专业功能</w:t>
        </w:r>
      </w:hyperlink>
    </w:p>
    <w:p>
      <w:pPr>
        <w:pStyle w:val="Para 2"/>
      </w:pPr>
      <w:hyperlink w:anchor="Top_of_262_html">
        <w:r>
          <w:t>册章综合系数设置</w:t>
        </w:r>
      </w:hyperlink>
    </w:p>
    <w:p>
      <w:pPr>
        <w:pStyle w:val="0 Block"/>
      </w:pPr>
    </w:p>
    <w:p>
      <w:pPr>
        <w:pStyle w:val="Para 2"/>
      </w:pPr>
      <w:hyperlink w:anchor="Top_of_263_html">
        <w:r>
          <w:t>零星材料通用机械</w:t>
        </w:r>
      </w:hyperlink>
    </w:p>
    <w:p>
      <w:pPr>
        <w:pStyle w:val="0 Block"/>
      </w:pPr>
    </w:p>
    <w:p>
      <w:pPr>
        <w:pStyle w:val="Para 2"/>
      </w:pPr>
      <w:hyperlink w:anchor="Top_of_264_html">
        <w:r>
          <w:t>周转材料设定</w:t>
        </w:r>
      </w:hyperlink>
    </w:p>
    <w:p>
      <w:pPr>
        <w:pStyle w:val="0 Block"/>
      </w:pPr>
    </w:p>
    <w:p>
      <w:pPr>
        <w:pStyle w:val="Para 2"/>
      </w:pPr>
      <w:hyperlink w:anchor="Top_of_265_html">
        <w:r>
          <w:t>超高子目设置</w:t>
        </w:r>
      </w:hyperlink>
    </w:p>
    <w:p>
      <w:pPr>
        <w:pStyle w:val="0 Block"/>
      </w:pPr>
    </w:p>
    <w:p>
      <w:pPr>
        <w:pStyle w:val="Para 2"/>
      </w:pPr>
      <w:hyperlink w:anchor="Top_of_266_html">
        <w:r>
          <w:t>查找</w:t>
        </w:r>
      </w:hyperlink>
    </w:p>
    <w:p>
      <w:pPr>
        <w:pStyle w:val="Para 2"/>
      </w:pPr>
      <w:hyperlink w:anchor="Top_of_292_html">
        <w:r>
          <w:t>一键插入暂估价材料</w:t>
        </w:r>
      </w:hyperlink>
    </w:p>
    <w:p>
      <w:pPr>
        <w:pStyle w:val="Para 2"/>
      </w:pPr>
      <w:hyperlink w:anchor="Top_of_268_html">
        <w:r>
          <w:t>专业助手</w:t>
        </w:r>
      </w:hyperlink>
    </w:p>
    <w:p>
      <w:pPr>
        <w:pStyle w:val="Para 2"/>
      </w:pPr>
      <w:hyperlink w:anchor="Top_of_269_html">
        <w:r>
          <w:t>易纵助手</w:t>
        </w:r>
      </w:hyperlink>
    </w:p>
    <w:p>
      <w:pPr>
        <w:pStyle w:val="0 Block"/>
      </w:pPr>
    </w:p>
    <w:p>
      <w:pPr>
        <w:pStyle w:val="Para 2"/>
      </w:pPr>
      <w:hyperlink w:anchor="Top_of_270_html">
        <w:r>
          <w:t>五金手册</w:t>
        </w:r>
      </w:hyperlink>
    </w:p>
    <w:p>
      <w:pPr>
        <w:pStyle w:val="0 Block"/>
      </w:pPr>
    </w:p>
    <w:p>
      <w:pPr>
        <w:pStyle w:val="Para 2"/>
      </w:pPr>
      <w:hyperlink w:anchor="Top_of_271_html">
        <w:r>
          <w:t xml:space="preserve"> 易纵logo菜单</w:t>
        </w:r>
      </w:hyperlink>
    </w:p>
    <w:p>
      <w:pPr>
        <w:pStyle w:val="0 Block"/>
      </w:pPr>
    </w:p>
    <w:p>
      <w:bookmarkStart w:id="1" w:name="Top_of_216_html"/>
      <w:pPr>
        <w:pStyle w:val="Heading 1"/>
        <w:pageBreakBefore w:val="on"/>
      </w:pPr>
      <w:r>
        <w:t>软件安装</w:t>
      </w:r>
      <w:bookmarkEnd w:id="1"/>
    </w:p>
    <w:p>
      <w:bookmarkStart w:id="2" w:name="page_content"/>
      <w:pPr>
        <w:pStyle w:val="Para 4"/>
      </w:pPr>
      <w:r>
        <w:t/>
      </w:r>
      <w:bookmarkEnd w:id="2"/>
    </w:p>
    <w:p>
      <w:bookmarkStart w:id="3" w:name="Top_of_217_html"/>
      <w:pPr>
        <w:pStyle w:val="Heading 1"/>
        <w:pageBreakBefore w:val="on"/>
      </w:pPr>
      <w:r>
        <w:t>环境要求</w:t>
      </w:r>
      <w:bookmarkEnd w:id="3"/>
    </w:p>
    <w:p>
      <w:bookmarkStart w:id="4" w:name="1_1__Ying_Jian_Huan_Jing_Zui_Di"/>
      <w:pPr>
        <w:pStyle w:val="Para 4"/>
      </w:pPr>
      <w:r>
        <w:t/>
      </w:r>
      <w:bookmarkEnd w:id="4"/>
    </w:p>
    <w:p>
      <w:pPr>
        <w:pStyle w:val="Normal"/>
      </w:pPr>
      <w:r>
        <w:t>1.1、硬件环境</w:t>
        <w:br w:clear="none"/>
        <w:t>最低配置：</w:t>
      </w:r>
    </w:p>
    <w:p>
      <w:pPr>
        <w:pStyle w:val="Normal"/>
      </w:pPr>
      <w:r>
        <w:t>处理器：PentiumⅢ 800MHz或更高</w:t>
      </w:r>
    </w:p>
    <w:p>
      <w:pPr>
        <w:pStyle w:val="Normal"/>
      </w:pPr>
      <w:r>
        <w:t>内存：512MB</w:t>
      </w:r>
    </w:p>
    <w:p>
      <w:pPr>
        <w:pStyle w:val="Normal"/>
      </w:pPr>
      <w:r>
        <w:t>硬盘：200MB可用硬盘空间</w:t>
      </w:r>
    </w:p>
    <w:p>
      <w:pPr>
        <w:pStyle w:val="Normal"/>
      </w:pPr>
      <w:r>
        <w:t>显示器：VGA、SVGA、TVGA等彩色显示器，分辨率800×600，16位真</w:t>
      </w:r>
    </w:p>
    <w:p>
      <w:pPr>
        <w:pStyle w:val="Normal"/>
      </w:pPr>
      <w:r>
        <w:t>1.2、软件环境</w:t>
        <w:br w:clear="none"/>
        <w:t>操作系统：</w:t>
        <w:br w:clear="none"/>
        <w:t>使用Windows XP及以上系统，最高兼容Windows 10</w:t>
      </w:r>
    </w:p>
    <w:p>
      <w:pPr>
        <w:pStyle w:val="Para 4"/>
      </w:pPr>
      <w:r>
        <w:t xml:space="preserve"> </w:t>
      </w:r>
    </w:p>
    <w:p>
      <w:bookmarkStart w:id="5" w:name="Top_of_218_html"/>
      <w:pPr>
        <w:pStyle w:val="Heading 1"/>
        <w:pageBreakBefore w:val="on"/>
      </w:pPr>
      <w:r>
        <w:t>安装步骤</w:t>
      </w:r>
      <w:bookmarkEnd w:id="5"/>
    </w:p>
    <w:p>
      <w:bookmarkStart w:id="6" w:name="1__Tong_Guo_Liu_Lan_Qi_Jin_Ru_Gu"/>
      <w:pPr>
        <w:pStyle w:val="Para 4"/>
      </w:pPr>
      <w:r>
        <w:t/>
      </w:r>
      <w:bookmarkEnd w:id="6"/>
    </w:p>
    <w:p>
      <w:pPr>
        <w:pStyle w:val="Normal"/>
      </w:pPr>
      <w:r>
        <w:t>1、通过浏览器进入官方网站</w:t>
      </w:r>
      <w:hyperlink r:id="rId11">
        <w:r>
          <w:rPr>
            <w:rStyle w:val="Text1"/>
          </w:rPr>
          <w:t>www.geekray.cn</w:t>
        </w:r>
      </w:hyperlink>
      <w:r>
        <w:t xml:space="preserve"> 在【易纵®计价系列】中，即可获得软件安装程序</w:t>
      </w:r>
    </w:p>
    <w:p>
      <w:pPr>
        <w:pStyle w:val="Normal"/>
      </w:pPr>
      <w:r>
        <w:t>2、双击打开下载成功后的安装程序，如下图所示：</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1079500" cy="1104900"/>
            <wp:effectExtent b="0" l="0" r="0" t="0"/>
            <wp:wrapTopAndBottom/>
            <wp:docPr descr="m_81c7b0ffbeba693c42b9a471ca7fc12b_r.png" id="1" name="m_81c7b0ffbeba693c42b9a471ca7fc12b_r.png"/>
            <wp:cNvGraphicFramePr>
              <a:graphicFrameLocks noChangeAspect="1"/>
            </wp:cNvGraphicFramePr>
            <a:graphic>
              <a:graphicData uri="http://schemas.openxmlformats.org/drawingml/2006/picture">
                <pic:pic>
                  <pic:nvPicPr>
                    <pic:cNvPr descr="m_81c7b0ffbeba693c42b9a471ca7fc12b_r.png" id="0" name="m_81c7b0ffbeba693c42b9a471ca7fc12b_r.png"/>
                    <pic:cNvPicPr/>
                  </pic:nvPicPr>
                  <pic:blipFill>
                    <a:blip r:embed="rId5"/>
                    <a:stretch>
                      <a:fillRect/>
                    </a:stretch>
                  </pic:blipFill>
                  <pic:spPr>
                    <a:xfrm>
                      <a:off x="0" y="0"/>
                      <a:ext cx="1079500" cy="1104900"/>
                    </a:xfrm>
                    <a:prstGeom prst="rect">
                      <a:avLst/>
                    </a:prstGeom>
                  </pic:spPr>
                </pic:pic>
              </a:graphicData>
            </a:graphic>
          </wp:anchor>
        </w:drawing>
      </w:r>
    </w:p>
    <w:p>
      <w:pPr>
        <w:pStyle w:val="Normal"/>
      </w:pPr>
      <w:r>
        <w:t>3、点击【一键安装】即可完成软件安装。</w:t>
      </w:r>
    </w:p>
    <w:p>
      <w:pPr>
        <w:pStyle w:val="2 Block"/>
      </w:pPr>
    </w:p>
    <w:p>
      <w:pPr>
        <w:pStyle w:val="Normal"/>
      </w:pPr>
      <w:r>
        <w:t>注：软件默认安装路径为：系统盘:\Program Files (x86)\Geekray\易纵计价\V5.0\， 若您需要修改安装路径，可在【自定义选项】修改。</w:t>
      </w:r>
    </w:p>
    <w:p>
      <w:pPr>
        <w:pStyle w:val="Para 4"/>
      </w:pPr>
      <w:r>
        <w:t xml:space="preserve"> </w:t>
      </w:r>
    </w:p>
    <w:p>
      <w:bookmarkStart w:id="7" w:name="Top_of_219_html"/>
      <w:pPr>
        <w:pStyle w:val="Heading 1"/>
        <w:pageBreakBefore w:val="on"/>
      </w:pPr>
      <w:r>
        <w:t>运行软件</w:t>
      </w:r>
      <w:bookmarkEnd w:id="7"/>
    </w:p>
    <w:p>
      <w:bookmarkStart w:id="8" w:name="Ruan_Jian_An_Zhuang_Hao_Yi_Hou"/>
      <w:pPr>
        <w:pStyle w:val="Para 4"/>
      </w:pPr>
      <w:r>
        <w:t/>
      </w:r>
      <w:bookmarkEnd w:id="8"/>
    </w:p>
    <w:p>
      <w:pPr>
        <w:pStyle w:val="Normal"/>
      </w:pPr>
      <w:r>
        <w:t>软件安装好以后，会在桌面上产生一个快捷图标“易纵计价 ”，</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1117600" cy="1333500"/>
            <wp:effectExtent b="0" l="0" r="0" t="0"/>
            <wp:wrapTopAndBottom/>
            <wp:docPr descr="m_5004e608e6389269b4c283da345dd5a0_r.jpg" id="2" name="m_5004e608e6389269b4c283da345dd5a0_r.jpg"/>
            <wp:cNvGraphicFramePr>
              <a:graphicFrameLocks noChangeAspect="1"/>
            </wp:cNvGraphicFramePr>
            <a:graphic>
              <a:graphicData uri="http://schemas.openxmlformats.org/drawingml/2006/picture">
                <pic:pic>
                  <pic:nvPicPr>
                    <pic:cNvPr descr="m_5004e608e6389269b4c283da345dd5a0_r.jpg" id="0" name="m_5004e608e6389269b4c283da345dd5a0_r.jpg"/>
                    <pic:cNvPicPr/>
                  </pic:nvPicPr>
                  <pic:blipFill>
                    <a:blip r:embed="rId6"/>
                    <a:stretch>
                      <a:fillRect/>
                    </a:stretch>
                  </pic:blipFill>
                  <pic:spPr>
                    <a:xfrm>
                      <a:off x="0" y="0"/>
                      <a:ext cx="1117600" cy="1333500"/>
                    </a:xfrm>
                    <a:prstGeom prst="rect">
                      <a:avLst/>
                    </a:prstGeom>
                  </pic:spPr>
                </pic:pic>
              </a:graphicData>
            </a:graphic>
          </wp:anchor>
        </w:drawing>
      </w:r>
    </w:p>
    <w:p>
      <w:pPr>
        <w:pStyle w:val="Normal"/>
      </w:pPr>
      <w:r>
        <w:t>直接双击这个图标就可以进入软件，</w:t>
      </w:r>
    </w:p>
    <w:p>
      <w:pPr>
        <w:pStyle w:val="Normal"/>
      </w:pPr>
      <w:r>
        <w:t>或者从Windows的【开始】中找到“易纵计价”也可以进入软件</w:t>
      </w:r>
    </w:p>
    <w:p>
      <w:pPr>
        <w:pStyle w:val="Para 4"/>
      </w:pPr>
      <w:r>
        <w:t xml:space="preserve"> </w:t>
      </w:r>
    </w:p>
    <w:p>
      <w:bookmarkStart w:id="9" w:name="Top_of_220_html"/>
      <w:pPr>
        <w:pStyle w:val="Heading 1"/>
        <w:pageBreakBefore w:val="on"/>
      </w:pPr>
      <w:r>
        <w:t>软件相关介绍</w:t>
      </w:r>
      <w:bookmarkEnd w:id="9"/>
    </w:p>
    <w:p>
      <w:bookmarkStart w:id="10" w:name="page_content_1"/>
      <w:pPr>
        <w:pStyle w:val="Para 4"/>
      </w:pPr>
      <w:r>
        <w:t/>
      </w:r>
      <w:bookmarkEnd w:id="10"/>
    </w:p>
    <w:p>
      <w:bookmarkStart w:id="11" w:name="Top_of_222_html"/>
      <w:pPr>
        <w:pStyle w:val="Heading 1"/>
        <w:pageBreakBefore w:val="on"/>
      </w:pPr>
      <w:r>
        <w:t>新建标书</w:t>
      </w:r>
      <w:bookmarkEnd w:id="11"/>
    </w:p>
    <w:p>
      <w:bookmarkStart w:id="12" w:name="page_content_2"/>
      <w:pPr>
        <w:pStyle w:val="Para 4"/>
      </w:pPr>
      <w:r>
        <w:t/>
      </w:r>
      <w:bookmarkEnd w:id="12"/>
    </w:p>
    <w:p>
      <w:bookmarkStart w:id="13" w:name="Top_of_223_html"/>
      <w:pPr>
        <w:pStyle w:val="Heading 1"/>
        <w:pageBreakBefore w:val="on"/>
      </w:pPr>
      <w:r>
        <w:t>进入软件</w:t>
      </w:r>
      <w:bookmarkEnd w:id="13"/>
    </w:p>
    <w:p>
      <w:bookmarkStart w:id="14" w:name="Yi_Zong__r_Ji_Jia_Shi_Shang_Hai"/>
      <w:pPr>
        <w:pStyle w:val="Para 4"/>
      </w:pPr>
      <w:r>
        <w:t/>
      </w:r>
      <w:bookmarkEnd w:id="14"/>
    </w:p>
    <w:p>
      <w:pPr>
        <w:pStyle w:val="Normal"/>
      </w:pPr>
      <w:r>
        <w:t>易纵®计价是上海市建设工程项目全过程造价智能编制工具，包括清单模式下的招标编制、投标编制、验工编制、结算编制、审核编制、清单预算及定额模式下的定额预算等七大功能模块，</w:t>
      </w:r>
    </w:p>
    <w:p>
      <w:pPr>
        <w:pStyle w:val="Normal"/>
      </w:pPr>
      <w:r>
        <w:t>进入前需插入购买的加密锁，左上角会显示与此加密锁绑定的用户账号，此账号服务期内授权所含的功能模块，会以彩色显示，若您同时插有本公司其他产品的加密锁，可以点击左上角头像进行切换。</w:t>
      </w:r>
    </w:p>
    <w:p>
      <w:pPr>
        <w:pStyle w:val="Normal"/>
      </w:pPr>
      <w:r>
        <w:t>这里我们选择进入【投标编制】</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800600"/>
            <wp:effectExtent b="0" l="0" r="0" t="0"/>
            <wp:wrapTopAndBottom/>
            <wp:docPr descr="m_fee1c4c4bb6e3c42da4e511788004eeb_r.png" id="3" name="m_fee1c4c4bb6e3c42da4e511788004eeb_r.png"/>
            <wp:cNvGraphicFramePr>
              <a:graphicFrameLocks noChangeAspect="1"/>
            </wp:cNvGraphicFramePr>
            <a:graphic>
              <a:graphicData uri="http://schemas.openxmlformats.org/drawingml/2006/picture">
                <pic:pic>
                  <pic:nvPicPr>
                    <pic:cNvPr descr="m_fee1c4c4bb6e3c42da4e511788004eeb_r.png" id="0" name="m_fee1c4c4bb6e3c42da4e511788004eeb_r.png"/>
                    <pic:cNvPicPr/>
                  </pic:nvPicPr>
                  <pic:blipFill>
                    <a:blip r:embed="rId7"/>
                    <a:stretch>
                      <a:fillRect/>
                    </a:stretch>
                  </pic:blipFill>
                  <pic:spPr>
                    <a:xfrm>
                      <a:off x="0" y="0"/>
                      <a:ext cx="5727700" cy="4800600"/>
                    </a:xfrm>
                    <a:prstGeom prst="rect">
                      <a:avLst/>
                    </a:prstGeom>
                  </pic:spPr>
                </pic:pic>
              </a:graphicData>
            </a:graphic>
          </wp:anchor>
        </w:drawing>
      </w:r>
    </w:p>
    <w:p>
      <w:pPr>
        <w:pStyle w:val="Para 4"/>
      </w:pPr>
      <w:r>
        <w:t xml:space="preserve"> </w:t>
      </w:r>
    </w:p>
    <w:p>
      <w:bookmarkStart w:id="15" w:name="Top_of_224_html"/>
      <w:pPr>
        <w:pStyle w:val="Heading 1"/>
        <w:pageBreakBefore w:val="on"/>
      </w:pPr>
      <w:r>
        <w:t>新建项目</w:t>
      </w:r>
      <w:bookmarkEnd w:id="15"/>
    </w:p>
    <w:p>
      <w:bookmarkStart w:id="16" w:name="Jin_Ru_Ruan_Jian_Hou__Dian_Ji_Yi"/>
      <w:pPr>
        <w:pStyle w:val="Para 4"/>
      </w:pPr>
      <w:r>
        <w:t/>
      </w:r>
      <w:bookmarkEnd w:id="16"/>
    </w:p>
    <w:p>
      <w:pPr>
        <w:pStyle w:val="Normal"/>
      </w:pPr>
      <w:r>
        <w:t>进入软件后，点击易纵®计价左上角logo菜单中的【新建】按钮可进行项目新建，或点击左上角快捷菜单中的【新建】亦可</w:t>
      </w:r>
    </w:p>
    <w:p>
      <w:pPr>
        <w:pStyle w:val="2 Block"/>
      </w:pPr>
    </w:p>
    <w:p>
      <w:pPr>
        <w:pStyle w:val="Normal"/>
      </w:pPr>
      <w:r>
        <w:t>点击新建后，导入招标文件，软件已经默认计税模式和定额规范，默认投标文件保存位置和招标文件在同一路径</w:t>
        <w:br w:clear="none"/>
      </w:r>
    </w:p>
    <w:p>
      <w:pPr>
        <w:pStyle w:val="Para 4"/>
      </w:pPr>
      <w:r>
        <w:t xml:space="preserve"> </w:t>
      </w:r>
    </w:p>
    <w:p>
      <w:bookmarkStart w:id="17" w:name="Top_of_221_html"/>
      <w:pPr>
        <w:pStyle w:val="Heading 1"/>
        <w:pageBreakBefore w:val="on"/>
      </w:pPr>
      <w:r>
        <w:t>项目概况</w:t>
      </w:r>
      <w:bookmarkEnd w:id="17"/>
    </w:p>
    <w:p>
      <w:bookmarkStart w:id="18" w:name="Tou_Biao_Ren_Ying_Gen_Ju_Shi_Ji"/>
      <w:pPr>
        <w:pStyle w:val="Para 4"/>
      </w:pPr>
      <w:r>
        <w:t/>
      </w:r>
      <w:bookmarkEnd w:id="18"/>
    </w:p>
    <w:p>
      <w:pPr>
        <w:pStyle w:val="Normal"/>
      </w:pPr>
      <w:r>
        <w:t>投标人应根据实际项目信息输入相应内容</w:t>
      </w:r>
    </w:p>
    <w:p>
      <w:pPr>
        <w:pStyle w:val="2 Block"/>
      </w:pPr>
    </w:p>
    <w:p>
      <w:pPr>
        <w:pStyle w:val="Para 4"/>
      </w:pPr>
      <w:r>
        <w:t xml:space="preserve"> </w:t>
      </w:r>
    </w:p>
    <w:p>
      <w:bookmarkStart w:id="19" w:name="Top_of_226_html"/>
      <w:pPr>
        <w:pStyle w:val="Heading 1"/>
        <w:pageBreakBefore w:val="on"/>
      </w:pPr>
      <w:r>
        <w:t>项目汇总表</w:t>
      </w:r>
      <w:bookmarkEnd w:id="19"/>
    </w:p>
    <w:p>
      <w:bookmarkStart w:id="20" w:name="Tong_Ji_Xiang_Mu_Ge_Jie_Dian_Zao"/>
      <w:pPr>
        <w:pStyle w:val="Para 4"/>
      </w:pPr>
      <w:r>
        <w:t/>
      </w:r>
      <w:bookmarkEnd w:id="20"/>
    </w:p>
    <w:p>
      <w:pPr>
        <w:pStyle w:val="Normal"/>
      </w:pPr>
      <w:r>
        <w:t>统计项目各节点造价</w:t>
      </w:r>
    </w:p>
    <w:p>
      <w:pPr>
        <w:pStyle w:val="2 Block"/>
      </w:pPr>
    </w:p>
    <w:p>
      <w:pPr>
        <w:numPr>
          <w:ilvl w:val="0"/>
          <w:numId w:val="10"/>
        </w:numPr>
        <w:pStyle w:val="Para 5"/>
      </w:pPr>
      <w:r>
        <w:t>项目费用快速查看：点击软件界面右下角项目费用可快速查看项目造价</w:t>
      </w:r>
    </w:p>
    <w:p>
      <w:pPr>
        <w:pStyle w:val="2 Block"/>
      </w:pPr>
    </w:p>
    <w:p>
      <w:pPr>
        <w:pStyle w:val="Para 4"/>
      </w:pPr>
      <w:r>
        <w:t xml:space="preserve"> </w:t>
      </w:r>
    </w:p>
    <w:p>
      <w:bookmarkStart w:id="21" w:name="Top_of_227_html"/>
      <w:pPr>
        <w:pStyle w:val="Heading 1"/>
        <w:pageBreakBefore w:val="on"/>
      </w:pPr>
      <w:r>
        <w:t>分部分项工程</w:t>
      </w:r>
      <w:bookmarkEnd w:id="21"/>
    </w:p>
    <w:p>
      <w:bookmarkStart w:id="22" w:name="page_content_3"/>
      <w:pPr>
        <w:pStyle w:val="Para 4"/>
      </w:pPr>
      <w:r>
        <w:t/>
      </w:r>
      <w:bookmarkEnd w:id="22"/>
    </w:p>
    <w:p>
      <w:bookmarkStart w:id="23" w:name="Top_of_228_html"/>
      <w:pPr>
        <w:pStyle w:val="Heading 1"/>
        <w:pageBreakBefore w:val="on"/>
      </w:pPr>
      <w:r>
        <w:t>分部分项主界面</w:t>
      </w:r>
      <w:bookmarkEnd w:id="23"/>
    </w:p>
    <w:p>
      <w:bookmarkStart w:id="24" w:name="Dui_Qing_Dan_Jin_Xing_Ding_E_Tao"/>
      <w:pPr>
        <w:pStyle w:val="Para 4"/>
      </w:pPr>
      <w:r>
        <w:t/>
      </w:r>
      <w:bookmarkEnd w:id="24"/>
    </w:p>
    <w:p>
      <w:pPr>
        <w:pStyle w:val="Normal"/>
      </w:pPr>
      <w:r>
        <w:t>对清单进行定额套取操作</w:t>
        <w:br w:clear="none"/>
      </w:r>
    </w:p>
    <w:p>
      <w:pPr>
        <w:pStyle w:val="Para 4"/>
      </w:pPr>
      <w:r>
        <w:t xml:space="preserve"> </w:t>
      </w:r>
    </w:p>
    <w:p>
      <w:bookmarkStart w:id="25" w:name="Top_of_232_html"/>
      <w:pPr>
        <w:pStyle w:val="Heading 1"/>
        <w:pageBreakBefore w:val="on"/>
      </w:pPr>
      <w:r>
        <w:t>选择组价方案</w:t>
      </w:r>
      <w:bookmarkEnd w:id="25"/>
    </w:p>
    <w:p>
      <w:bookmarkStart w:id="26" w:name="Dian_Ji_Qing_Dan_Zi_Mu_Xia_Fang"/>
      <w:pPr>
        <w:pStyle w:val="Para 4"/>
      </w:pPr>
      <w:r>
        <w:t/>
      </w:r>
      <w:bookmarkEnd w:id="26"/>
    </w:p>
    <w:p>
      <w:pPr>
        <w:pStyle w:val="Normal"/>
      </w:pPr>
      <w:r>
        <w:t>点击清单子目下方带三个点的按钮，可以打开项目指引界面</w:t>
      </w:r>
    </w:p>
    <w:p>
      <w:pPr>
        <w:pStyle w:val="Normal"/>
      </w:pPr>
      <w:r>
        <w:t>清单下项目指引可在【云组价】、【清单指引】、【定额】、【工料机】、【临时定额】、【临时工料机】中选择任意一种组价方案</w:t>
      </w:r>
    </w:p>
    <w:p>
      <w:pPr>
        <w:pStyle w:val="Normal"/>
      </w:pPr>
      <w:r>
        <w:t>项目指引界面左下角还可选择使用2016定额、2000定额、养护定额、概算定额</w:t>
      </w:r>
    </w:p>
    <w:p>
      <w:pPr>
        <w:pStyle w:val="2 Block"/>
      </w:pPr>
    </w:p>
    <w:p>
      <w:pPr>
        <w:pStyle w:val="Para 4"/>
      </w:pPr>
      <w:r>
        <w:t xml:space="preserve"> </w:t>
      </w:r>
    </w:p>
    <w:p>
      <w:bookmarkStart w:id="27" w:name="Top_of_233_html"/>
      <w:pPr>
        <w:pStyle w:val="Heading 1"/>
        <w:pageBreakBefore w:val="on"/>
      </w:pPr>
      <w:r>
        <w:t>清单行右键功能</w:t>
      </w:r>
      <w:bookmarkEnd w:id="27"/>
    </w:p>
    <w:p>
      <w:bookmarkStart w:id="28" w:name="page_content_4"/>
      <w:pPr>
        <w:pStyle w:val="Para 4"/>
      </w:pPr>
      <w:r>
        <w:t/>
      </w:r>
      <w:bookmarkEnd w:id="28"/>
    </w:p>
    <w:p>
      <w:bookmarkStart w:id="29" w:name="Top_of_234_html"/>
      <w:pPr>
        <w:pStyle w:val="Heading 1"/>
        <w:pageBreakBefore w:val="on"/>
      </w:pPr>
      <w:r>
        <w:t>清单行基本操作</w:t>
      </w:r>
      <w:bookmarkEnd w:id="29"/>
    </w:p>
    <w:p>
      <w:bookmarkStart w:id="30" w:name="An_Qing_Dan_Ming_Cheng_Sheng_Che"/>
      <w:pPr>
        <w:pStyle w:val="Para 4"/>
      </w:pPr>
      <w:r>
        <w:t/>
      </w:r>
      <w:bookmarkEnd w:id="30"/>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1993900" cy="2120900"/>
            <wp:effectExtent b="0" l="0" r="0" t="0"/>
            <wp:wrapTopAndBottom/>
            <wp:docPr descr="m_88eeb64d7f1f3c885a59a4a904afe6d0_r.jpg" id="4" name="m_88eeb64d7f1f3c885a59a4a904afe6d0_r.jpg"/>
            <wp:cNvGraphicFramePr>
              <a:graphicFrameLocks noChangeAspect="1"/>
            </wp:cNvGraphicFramePr>
            <a:graphic>
              <a:graphicData uri="http://schemas.openxmlformats.org/drawingml/2006/picture">
                <pic:pic>
                  <pic:nvPicPr>
                    <pic:cNvPr descr="m_88eeb64d7f1f3c885a59a4a904afe6d0_r.jpg" id="0" name="m_88eeb64d7f1f3c885a59a4a904afe6d0_r.jpg"/>
                    <pic:cNvPicPr/>
                  </pic:nvPicPr>
                  <pic:blipFill>
                    <a:blip r:embed="rId8"/>
                    <a:stretch>
                      <a:fillRect/>
                    </a:stretch>
                  </pic:blipFill>
                  <pic:spPr>
                    <a:xfrm>
                      <a:off x="0" y="0"/>
                      <a:ext cx="1993900" cy="2120900"/>
                    </a:xfrm>
                    <a:prstGeom prst="rect">
                      <a:avLst/>
                    </a:prstGeom>
                  </pic:spPr>
                </pic:pic>
              </a:graphicData>
            </a:graphic>
          </wp:anchor>
        </w:drawing>
      </w:r>
    </w:p>
    <w:p>
      <w:pPr>
        <w:numPr>
          <w:ilvl w:val="0"/>
          <w:numId w:val="1"/>
        </w:numPr>
        <w:pStyle w:val="Para 1"/>
      </w:pPr>
      <w:r>
        <w:t>按清单名称生成主材：根据清单名称生成相对应的主材</w:t>
      </w:r>
    </w:p>
    <w:p>
      <w:pPr>
        <w:numPr>
          <w:ilvl w:val="0"/>
          <w:numId w:val="1"/>
        </w:numPr>
        <w:pStyle w:val="Para 1"/>
      </w:pPr>
      <w:r>
        <w:t>添加临时定额：同【选择组价方案】中的【临时定额】</w:t>
      </w:r>
    </w:p>
    <w:p>
      <w:pPr>
        <w:numPr>
          <w:ilvl w:val="0"/>
          <w:numId w:val="1"/>
        </w:numPr>
        <w:pStyle w:val="Para 1"/>
      </w:pPr>
      <w:r>
        <w:t>工程量批量调整：同定额行右键功能</w:t>
      </w:r>
    </w:p>
    <w:p>
      <w:pPr>
        <w:numPr>
          <w:ilvl w:val="0"/>
          <w:numId w:val="1"/>
        </w:numPr>
        <w:pStyle w:val="Para 1"/>
      </w:pPr>
      <w:r>
        <w:t>导出Excel：可以把分部分项内容以Excel格式导出</w:t>
      </w:r>
    </w:p>
    <w:p>
      <w:pPr>
        <w:pStyle w:val="Para 4"/>
      </w:pPr>
      <w:r>
        <w:t xml:space="preserve"> </w:t>
      </w:r>
    </w:p>
    <w:p>
      <w:bookmarkStart w:id="31" w:name="Top_of_235_html"/>
      <w:pPr>
        <w:pStyle w:val="Heading 1"/>
        <w:pageBreakBefore w:val="on"/>
      </w:pPr>
      <w:r>
        <w:t>替换组价</w:t>
      </w:r>
      <w:bookmarkEnd w:id="31"/>
    </w:p>
    <w:p>
      <w:bookmarkStart w:id="32" w:name="Ke_Jiang_Gai_Qing_Dan_Yi_Jing_Wa"/>
      <w:pPr>
        <w:pStyle w:val="Para 4"/>
      </w:pPr>
      <w:r>
        <w:t/>
      </w:r>
      <w:bookmarkEnd w:id="32"/>
    </w:p>
    <w:p>
      <w:pPr>
        <w:pStyle w:val="Normal"/>
      </w:pPr>
      <w:r>
        <w:t>可将该清单已经完成的组价方案，根据条件替换到其他清单子目</w:t>
      </w:r>
    </w:p>
    <w:p>
      <w:pPr>
        <w:pStyle w:val="2 Block"/>
      </w:pPr>
    </w:p>
    <w:p>
      <w:pPr>
        <w:pStyle w:val="Para 4"/>
      </w:pPr>
      <w:r>
        <w:t xml:space="preserve"> </w:t>
      </w:r>
    </w:p>
    <w:p>
      <w:bookmarkStart w:id="33" w:name="Top_of_237_html"/>
      <w:pPr>
        <w:pStyle w:val="Heading 1"/>
        <w:pageBreakBefore w:val="on"/>
      </w:pPr>
      <w:r>
        <w:t>定额行右键功能</w:t>
      </w:r>
      <w:bookmarkEnd w:id="33"/>
    </w:p>
    <w:p>
      <w:bookmarkStart w:id="34" w:name="page_content_5"/>
      <w:pPr>
        <w:pStyle w:val="Para 4"/>
      </w:pPr>
      <w:r>
        <w:t/>
      </w:r>
      <w:bookmarkEnd w:id="34"/>
    </w:p>
    <w:p>
      <w:bookmarkStart w:id="35" w:name="Top_of_238_html"/>
      <w:pPr>
        <w:pStyle w:val="Heading 1"/>
        <w:pageBreakBefore w:val="on"/>
      </w:pPr>
      <w:r>
        <w:t>定额行基本操作</w:t>
      </w:r>
      <w:bookmarkEnd w:id="35"/>
    </w:p>
    <w:p>
      <w:bookmarkStart w:id="36" w:name="Fu_Zhi_Xing__Dui_Xuan_Zhong_De_D"/>
      <w:pPr>
        <w:pStyle w:val="Para 4"/>
      </w:pPr>
      <w:r>
        <w:t/>
      </w:r>
      <w:bookmarkEnd w:id="36"/>
    </w:p>
    <w:p>
      <w:pPr>
        <w:pStyle w:val="2 Block"/>
      </w:pPr>
    </w:p>
    <w:p>
      <w:pPr>
        <w:numPr>
          <w:ilvl w:val="0"/>
          <w:numId w:val="17"/>
        </w:numPr>
        <w:pStyle w:val="Para 1"/>
      </w:pPr>
      <w:r>
        <w:t>复制行：对选中的定额行进行复制，包括项目名称、单位、工程量、综合单价等</w:t>
      </w:r>
    </w:p>
    <w:p>
      <w:pPr>
        <w:numPr>
          <w:ilvl w:val="0"/>
          <w:numId w:val="17"/>
        </w:numPr>
        <w:pStyle w:val="Para 1"/>
      </w:pPr>
      <w:r>
        <w:t>粘贴行：选中需要进行粘贴的定额行，对已经进行复制的定额行进行粘贴</w:t>
      </w:r>
    </w:p>
    <w:p>
      <w:pPr>
        <w:numPr>
          <w:ilvl w:val="0"/>
          <w:numId w:val="17"/>
        </w:numPr>
        <w:pStyle w:val="Para 1"/>
      </w:pPr>
      <w:r>
        <w:t>剪切行：对选中的定额行进行剪切，包括项目名称、单位、工程量、综合单价等</w:t>
      </w:r>
    </w:p>
    <w:p>
      <w:pPr>
        <w:numPr>
          <w:ilvl w:val="0"/>
          <w:numId w:val="17"/>
        </w:numPr>
        <w:pStyle w:val="Para 1"/>
      </w:pPr>
      <w:r>
        <w:t>删除行：对选中的定额行进行删除，包括项目名称、单位、工程量、综合单价等</w:t>
      </w:r>
    </w:p>
    <w:p>
      <w:pPr>
        <w:numPr>
          <w:ilvl w:val="0"/>
          <w:numId w:val="17"/>
        </w:numPr>
        <w:pStyle w:val="Para 1"/>
      </w:pPr>
      <w:r>
        <w:t>上移：对选中的定额可以上移</w:t>
      </w:r>
    </w:p>
    <w:p>
      <w:pPr>
        <w:numPr>
          <w:ilvl w:val="0"/>
          <w:numId w:val="17"/>
        </w:numPr>
        <w:pStyle w:val="Para 1"/>
      </w:pPr>
      <w:r>
        <w:t>下移：对选中的定额可以下移</w:t>
      </w:r>
    </w:p>
    <w:p>
      <w:pPr>
        <w:numPr>
          <w:ilvl w:val="0"/>
          <w:numId w:val="17"/>
        </w:numPr>
        <w:pStyle w:val="Para 1"/>
      </w:pPr>
      <w:r>
        <w:t>插入定额：同【选择组价方案】</w:t>
      </w:r>
    </w:p>
    <w:p>
      <w:pPr>
        <w:numPr>
          <w:ilvl w:val="0"/>
          <w:numId w:val="17"/>
        </w:numPr>
        <w:pStyle w:val="Para 1"/>
      </w:pPr>
      <w:r>
        <w:t>按定额名称生成主材：根据定额名称生成相对应的主材</w:t>
      </w:r>
    </w:p>
    <w:p>
      <w:pPr>
        <w:numPr>
          <w:ilvl w:val="0"/>
          <w:numId w:val="17"/>
        </w:numPr>
        <w:pStyle w:val="Para 1"/>
      </w:pPr>
      <w:r>
        <w:t>添加临时定额：同【选择组价方案】中的【临时定额】</w:t>
      </w:r>
    </w:p>
    <w:p>
      <w:pPr>
        <w:numPr>
          <w:ilvl w:val="0"/>
          <w:numId w:val="17"/>
        </w:numPr>
        <w:pStyle w:val="Para 1"/>
      </w:pPr>
      <w:r>
        <w:t>复制清单工程量 ：快捷键F10；当套取定额单位与清单单位不一致时，可使用此功能，将清单工程量复制到定额工程量中</w:t>
      </w:r>
    </w:p>
    <w:p>
      <w:pPr>
        <w:pStyle w:val="Para 1"/>
      </w:pPr>
      <w:r>
        <w:t>定额工程量编辑支持表达式，可以使用QDL(大小写不限)，代表清单工程量</w:t>
      </w:r>
    </w:p>
    <w:p>
      <w:pPr>
        <w:numPr>
          <w:ilvl w:val="0"/>
          <w:numId w:val="17"/>
        </w:numPr>
        <w:pStyle w:val="Para 1"/>
      </w:pPr>
      <w:r>
        <w:t>工程量批量调整：对选中的定额行进行工程量批量调整，可批量乘系数或直接输入工程量</w:t>
      </w:r>
    </w:p>
    <w:p>
      <w:pPr>
        <w:pStyle w:val="2 Block"/>
      </w:pPr>
    </w:p>
    <w:p>
      <w:pPr>
        <w:numPr>
          <w:ilvl w:val="0"/>
          <w:numId w:val="13"/>
        </w:numPr>
        <w:pStyle w:val="Para 5"/>
      </w:pPr>
      <w:r>
        <w:t>导出Excel：同清单行右键功能</w:t>
      </w:r>
    </w:p>
    <w:p>
      <w:pPr>
        <w:pStyle w:val="Para 4"/>
      </w:pPr>
      <w:r>
        <w:t xml:space="preserve"> </w:t>
      </w:r>
    </w:p>
    <w:p>
      <w:bookmarkStart w:id="37" w:name="Top_of_239_html"/>
      <w:pPr>
        <w:pStyle w:val="Heading 1"/>
        <w:pageBreakBefore w:val="on"/>
      </w:pPr>
      <w:r>
        <w:t>定额换算</w:t>
      </w:r>
      <w:bookmarkEnd w:id="37"/>
    </w:p>
    <w:p>
      <w:bookmarkStart w:id="38" w:name="Gen_Ju_Xian_Xing_Ding_E_Fa_Bu_De"/>
      <w:pPr>
        <w:pStyle w:val="Para 4"/>
      </w:pPr>
      <w:r>
        <w:t/>
      </w:r>
      <w:bookmarkEnd w:id="38"/>
    </w:p>
    <w:p>
      <w:pPr>
        <w:pStyle w:val="Normal"/>
      </w:pPr>
      <w:r>
        <w:t>根据现行定额发布的计算规则或文字说明，涉及到增减换算、系数换算、混凝土/砂浆换算、苗木换算等内容，</w:t>
      </w:r>
    </w:p>
    <w:p>
      <w:pPr>
        <w:pStyle w:val="Normal"/>
      </w:pPr>
      <w:r>
        <w:t>软件会进行一次性设置并调整</w:t>
      </w:r>
    </w:p>
    <w:p>
      <w:pPr>
        <w:pStyle w:val="Normal"/>
      </w:pPr>
      <w:r>
        <w:t>系数换算：绿旗显示</w:t>
      </w:r>
    </w:p>
    <w:p>
      <w:pPr>
        <w:pStyle w:val="Normal"/>
      </w:pPr>
      <w:r>
        <w:t>增减换算：蓝旗显示</w:t>
      </w:r>
    </w:p>
    <w:p>
      <w:pPr>
        <w:pStyle w:val="2 Block"/>
      </w:pPr>
    </w:p>
    <w:p>
      <w:pPr>
        <w:pStyle w:val="Normal"/>
      </w:pPr>
      <w:r>
        <w:t>混凝土换算：</w:t>
      </w:r>
    </w:p>
    <w:p>
      <w:pPr>
        <w:pStyle w:val="2 Block"/>
      </w:pPr>
    </w:p>
    <w:p>
      <w:pPr>
        <w:pStyle w:val="Normal"/>
      </w:pPr>
      <w:r>
        <w:t>砂浆换算：</w:t>
      </w:r>
    </w:p>
    <w:p>
      <w:pPr>
        <w:pStyle w:val="2 Block"/>
      </w:pPr>
    </w:p>
    <w:p>
      <w:pPr>
        <w:pStyle w:val="Normal"/>
      </w:pPr>
      <w:r>
        <w:t>苗木换算：</w:t>
      </w:r>
    </w:p>
    <w:p>
      <w:pPr>
        <w:pStyle w:val="2 Block"/>
      </w:pPr>
    </w:p>
    <w:p>
      <w:pPr>
        <w:pStyle w:val="Para 4"/>
      </w:pPr>
      <w:r>
        <w:t xml:space="preserve"> </w:t>
      </w:r>
    </w:p>
    <w:p>
      <w:bookmarkStart w:id="39" w:name="Top_of_240_html"/>
      <w:pPr>
        <w:pStyle w:val="Heading 1"/>
        <w:pageBreakBefore w:val="on"/>
      </w:pPr>
      <w:r>
        <w:t>分部分项导航</w:t>
      </w:r>
      <w:bookmarkEnd w:id="39"/>
    </w:p>
    <w:p>
      <w:bookmarkStart w:id="40" w:name="Fen_Ji_Xian_Shi__Fen_Bu_Fen_Xian"/>
      <w:pPr>
        <w:pStyle w:val="Para 4"/>
      </w:pPr>
      <w:r>
        <w:t/>
      </w:r>
      <w:bookmarkEnd w:id="40"/>
    </w:p>
    <w:p>
      <w:pPr>
        <w:pStyle w:val="2 Block"/>
      </w:pPr>
    </w:p>
    <w:p>
      <w:pPr>
        <w:numPr>
          <w:ilvl w:val="0"/>
          <w:numId w:val="15"/>
        </w:numPr>
        <w:pStyle w:val="Para 1"/>
      </w:pPr>
      <w:r>
        <w:t>分级显示：分部分项界面可按分部、清单、定额、工料机四级模式分部进行显示</w:t>
      </w:r>
    </w:p>
    <w:p>
      <w:pPr>
        <w:numPr>
          <w:ilvl w:val="0"/>
          <w:numId w:val="15"/>
        </w:numPr>
        <w:pStyle w:val="Para 1"/>
      </w:pPr>
      <w:r>
        <w:t>颜色：可以自主选择颜色填充每一行</w:t>
      </w:r>
    </w:p>
    <w:p>
      <w:pPr>
        <w:numPr>
          <w:ilvl w:val="0"/>
          <w:numId w:val="15"/>
        </w:numPr>
        <w:pStyle w:val="Para 1"/>
      </w:pPr>
      <w:r>
        <w:t>上移、下移、导出Excel：同定额行右键功能相同</w:t>
      </w:r>
    </w:p>
    <w:p>
      <w:pPr>
        <w:pStyle w:val="Para 4"/>
      </w:pPr>
      <w:r>
        <w:t xml:space="preserve"> </w:t>
      </w:r>
    </w:p>
    <w:p>
      <w:bookmarkStart w:id="41" w:name="Top_of_241_html"/>
      <w:pPr>
        <w:pStyle w:val="Heading 1"/>
        <w:pageBreakBefore w:val="on"/>
      </w:pPr>
      <w:r>
        <w:t>分部分项工料机导航栏</w:t>
      </w:r>
      <w:bookmarkEnd w:id="41"/>
    </w:p>
    <w:p>
      <w:bookmarkStart w:id="42" w:name="Tian_Jia_Gong_Liao_Ji__Ke_Yi_Zhi"/>
      <w:pPr>
        <w:pStyle w:val="Para 4"/>
      </w:pPr>
      <w:r>
        <w:t/>
      </w:r>
      <w:bookmarkEnd w:id="42"/>
    </w:p>
    <w:p>
      <w:pPr>
        <w:pStyle w:val="2 Block"/>
      </w:pPr>
    </w:p>
    <w:p>
      <w:pPr>
        <w:numPr>
          <w:ilvl w:val="0"/>
          <w:numId w:val="2"/>
        </w:numPr>
        <w:pStyle w:val="Para 1"/>
      </w:pPr>
      <w:r>
        <w:t>添加工料机：可以直接在此定额下新增一条系统库内的工料机</w:t>
      </w:r>
    </w:p>
    <w:p>
      <w:pPr>
        <w:numPr>
          <w:ilvl w:val="0"/>
          <w:numId w:val="2"/>
        </w:numPr>
        <w:pStyle w:val="Para 1"/>
      </w:pPr>
      <w:r>
        <w:t>删除工料机：可以直接在此定额下删除一条系统库内的工料机</w:t>
      </w:r>
    </w:p>
    <w:p>
      <w:pPr>
        <w:numPr>
          <w:ilvl w:val="0"/>
          <w:numId w:val="2"/>
        </w:numPr>
        <w:pStyle w:val="Para 1"/>
      </w:pPr>
      <w:r>
        <w:t>替换工料机：可以直接在此定额下替换一条系统库内的工料机，也可以直接在被替换的工料机编码中手动输入需要替换的工料机编码</w:t>
      </w:r>
    </w:p>
    <w:p>
      <w:pPr>
        <w:numPr>
          <w:ilvl w:val="0"/>
          <w:numId w:val="2"/>
        </w:numPr>
        <w:pStyle w:val="Para 1"/>
      </w:pPr>
      <w:r>
        <w:t>响应招标材料：响应暂估价材料和要求提供单价材料</w:t>
      </w:r>
    </w:p>
    <w:p>
      <w:pPr>
        <w:pStyle w:val="2 Block"/>
      </w:pPr>
    </w:p>
    <w:p>
      <w:pPr>
        <w:pStyle w:val="Para 4"/>
      </w:pPr>
      <w:r>
        <w:t xml:space="preserve"> </w:t>
      </w:r>
    </w:p>
    <w:p>
      <w:bookmarkStart w:id="43" w:name="Top_of_242_html"/>
      <w:pPr>
        <w:pStyle w:val="Heading 1"/>
        <w:pageBreakBefore w:val="on"/>
      </w:pPr>
      <w:r>
        <w:t>措施项目</w:t>
      </w:r>
      <w:bookmarkEnd w:id="43"/>
    </w:p>
    <w:p>
      <w:bookmarkStart w:id="44" w:name="page_content_6"/>
      <w:pPr>
        <w:pStyle w:val="Para 4"/>
      </w:pPr>
      <w:r>
        <w:t/>
      </w:r>
      <w:bookmarkEnd w:id="44"/>
    </w:p>
    <w:p>
      <w:bookmarkStart w:id="45" w:name="Top_of_243_html"/>
      <w:pPr>
        <w:pStyle w:val="Heading 1"/>
        <w:pageBreakBefore w:val="on"/>
      </w:pPr>
      <w:r>
        <w:t>总价措施</w:t>
      </w:r>
      <w:bookmarkEnd w:id="45"/>
    </w:p>
    <w:p>
      <w:bookmarkStart w:id="46" w:name="Zong_Jia_Cuo_Shi_Bao_Han_Si_Xian"/>
      <w:pPr>
        <w:pStyle w:val="Para 4"/>
      </w:pPr>
      <w:r>
        <w:t/>
      </w:r>
      <w:bookmarkEnd w:id="46"/>
    </w:p>
    <w:p>
      <w:pPr>
        <w:pStyle w:val="Normal"/>
      </w:pPr>
      <w:r>
        <w:t>总价措施包含四项费用（环境保护、文明施工、临时设施、安全施工）及其他总价措施项目</w:t>
      </w:r>
    </w:p>
    <w:p>
      <w:pPr>
        <w:pStyle w:val="Normal"/>
      </w:pPr>
      <w:r>
        <w:t>一般项目中总价措施均在整体项目中，需将项目结构切换到整体项目节点</w:t>
        <w:br w:clear="none"/>
      </w:r>
    </w:p>
    <w:p>
      <w:pPr>
        <w:numPr>
          <w:ilvl w:val="0"/>
          <w:numId w:val="11"/>
        </w:numPr>
        <w:pStyle w:val="Para 1"/>
      </w:pPr>
      <w:r>
        <w:t>【设置计算基数】：选择调整所有行或选中行，通过软件中内置的费用代码选择《费用名称》，填入相应费率</w:t>
      </w:r>
    </w:p>
    <w:p>
      <w:pPr>
        <w:pStyle w:val="1 Block"/>
      </w:pPr>
    </w:p>
    <w:p>
      <w:pPr>
        <w:numPr>
          <w:ilvl w:val="0"/>
          <w:numId w:val="5"/>
        </w:numPr>
        <w:pStyle w:val="Para 5"/>
      </w:pPr>
      <w:r>
        <w:t>【填报安措费用】：在已有分部分项工程费的前提下，安全防护、文明施工措施项目一键填报</w:t>
      </w:r>
    </w:p>
    <w:p>
      <w:pPr>
        <w:pStyle w:val="2 Block"/>
      </w:pPr>
    </w:p>
    <w:p>
      <w:pPr>
        <w:pStyle w:val="Para 4"/>
      </w:pPr>
      <w:r>
        <w:t xml:space="preserve"> </w:t>
      </w:r>
    </w:p>
    <w:p>
      <w:bookmarkStart w:id="47" w:name="Top_of_244_html"/>
      <w:pPr>
        <w:pStyle w:val="Heading 1"/>
        <w:pageBreakBefore w:val="on"/>
      </w:pPr>
      <w:r>
        <w:t>单价措施</w:t>
      </w:r>
      <w:bookmarkEnd w:id="47"/>
    </w:p>
    <w:p>
      <w:bookmarkStart w:id="48" w:name="Dan_Jia_Cuo_Shi_Zhu_Yao_She_Ji_M"/>
      <w:pPr>
        <w:pStyle w:val="Para 4"/>
      </w:pPr>
      <w:r>
        <w:t/>
      </w:r>
      <w:bookmarkEnd w:id="48"/>
    </w:p>
    <w:p>
      <w:pPr>
        <w:pStyle w:val="Normal"/>
      </w:pPr>
      <w:r>
        <w:t>单价措施主要涉及模板或脚手架类子目报价，操作同【分部分项工程】中清单与定额的选择或组价</w:t>
      </w:r>
    </w:p>
    <w:p>
      <w:pPr>
        <w:pStyle w:val="Para 4"/>
      </w:pPr>
      <w:r>
        <w:t xml:space="preserve"> </w:t>
      </w:r>
    </w:p>
    <w:p>
      <w:bookmarkStart w:id="49" w:name="Top_of_245_html"/>
      <w:pPr>
        <w:pStyle w:val="Heading 1"/>
        <w:pageBreakBefore w:val="on"/>
      </w:pPr>
      <w:r>
        <w:t>其他项目</w:t>
      </w:r>
      <w:bookmarkEnd w:id="49"/>
    </w:p>
    <w:p>
      <w:bookmarkStart w:id="50" w:name="Gen_Ju_Xiang_Mu_Shi_Ji_Qing_Kuan"/>
      <w:pPr>
        <w:pStyle w:val="Para 4"/>
      </w:pPr>
      <w:r>
        <w:t/>
      </w:r>
      <w:bookmarkEnd w:id="50"/>
    </w:p>
    <w:p>
      <w:pPr>
        <w:pStyle w:val="Normal"/>
      </w:pPr>
      <w:r>
        <w:t>根据项目实际情况编辑</w:t>
      </w:r>
    </w:p>
    <w:p>
      <w:pPr>
        <w:pStyle w:val="2 Block"/>
      </w:pPr>
    </w:p>
    <w:p>
      <w:pPr>
        <w:numPr>
          <w:ilvl w:val="0"/>
          <w:numId w:val="19"/>
        </w:numPr>
        <w:pStyle w:val="Para 1"/>
      </w:pPr>
      <w:r>
        <w:t>暂列金额：招标人在工程量清单中暂定并包括在合同价款中的一笔款项。用于工程合同签订时尚未确定或者不可预见的所需材料、工程设备、服务的采购，施工中可能发生的工程变更、合同约定调整因素出现时的合同价款调整以及发生的索赔、现场签证确认等的费用。</w:t>
      </w:r>
    </w:p>
    <w:p>
      <w:pPr>
        <w:numPr>
          <w:ilvl w:val="0"/>
          <w:numId w:val="19"/>
        </w:numPr>
        <w:pStyle w:val="Para 1"/>
      </w:pPr>
      <w:r>
        <w:t>专业工程暂估价：招标人在工程量清单中提供的用于支付必然发生但暂时不能确定价格的材料、工程设备的单价以及专业工程的金额。</w:t>
      </w:r>
    </w:p>
    <w:p>
      <w:pPr>
        <w:numPr>
          <w:ilvl w:val="0"/>
          <w:numId w:val="19"/>
        </w:numPr>
        <w:pStyle w:val="Para 1"/>
      </w:pPr>
      <w:r>
        <w:t>零星工作项目（计日工）：在施工过程中，承包人完成发包人提出的工程合同范围以外的零星项目或工作，按合同中约定的单价计价的一种方式。</w:t>
      </w:r>
    </w:p>
    <w:p>
      <w:pPr>
        <w:pStyle w:val="Para 1"/>
      </w:pPr>
      <w:r>
        <w:t>点击添加行，输入计日工编码，类型、名称、单位、数量、综合单价</w:t>
      </w:r>
    </w:p>
    <w:p>
      <w:pPr>
        <w:numPr>
          <w:ilvl w:val="0"/>
          <w:numId w:val="19"/>
        </w:numPr>
        <w:pStyle w:val="Para 1"/>
      </w:pPr>
      <w:r>
        <w:t>总承包服务费：在施工过程中，承包人完成发包人提出的工程合同范围以外的零星项目或工作，按合同中约定的单价计价的一种方式。</w:t>
      </w:r>
    </w:p>
    <w:p>
      <w:pPr>
        <w:pStyle w:val="Para 1"/>
      </w:pPr>
      <w:r>
        <w:t>点击添加行，输入工程名称、项目价值、服务内容、费率；也可从专业暂估价获取</w:t>
      </w:r>
    </w:p>
    <w:p>
      <w:pPr>
        <w:pStyle w:val="Para 4"/>
      </w:pPr>
      <w:r>
        <w:t xml:space="preserve"> </w:t>
      </w:r>
    </w:p>
    <w:p>
      <w:bookmarkStart w:id="51" w:name="Top_of_246_html"/>
      <w:pPr>
        <w:pStyle w:val="Heading 1"/>
        <w:pageBreakBefore w:val="on"/>
      </w:pPr>
      <w:r>
        <w:t>规费税金</w:t>
      </w:r>
      <w:bookmarkEnd w:id="51"/>
    </w:p>
    <w:p>
      <w:bookmarkStart w:id="52" w:name="Tong_Ji_Xiang_Mu_Ge_Jie_Dian_Gui"/>
      <w:pPr>
        <w:pStyle w:val="Para 4"/>
      </w:pPr>
      <w:r>
        <w:t/>
      </w:r>
      <w:bookmarkEnd w:id="52"/>
    </w:p>
    <w:p>
      <w:pPr>
        <w:pStyle w:val="Normal"/>
      </w:pPr>
      <w:r>
        <w:t>统计项目各节点规费和增值税金额</w:t>
      </w:r>
    </w:p>
    <w:p>
      <w:pPr>
        <w:pStyle w:val="2 Block"/>
      </w:pPr>
    </w:p>
    <w:p>
      <w:pPr>
        <w:pStyle w:val="Para 4"/>
      </w:pPr>
      <w:r>
        <w:t xml:space="preserve"> </w:t>
      </w:r>
    </w:p>
    <w:p>
      <w:bookmarkStart w:id="53" w:name="Top_of_247_html"/>
      <w:pPr>
        <w:pStyle w:val="Heading 1"/>
        <w:pageBreakBefore w:val="on"/>
      </w:pPr>
      <w:r>
        <w:t>工料机汇总</w:t>
      </w:r>
      <w:bookmarkEnd w:id="53"/>
    </w:p>
    <w:p>
      <w:bookmarkStart w:id="54" w:name="page_content_7"/>
      <w:pPr>
        <w:pStyle w:val="Para 4"/>
      </w:pPr>
      <w:r>
        <w:t/>
      </w:r>
      <w:bookmarkEnd w:id="54"/>
    </w:p>
    <w:p>
      <w:bookmarkStart w:id="55" w:name="Top_of_248_html"/>
      <w:pPr>
        <w:pStyle w:val="Heading 1"/>
        <w:pageBreakBefore w:val="on"/>
      </w:pPr>
      <w:r>
        <w:t>工料机汇总</w:t>
      </w:r>
      <w:bookmarkEnd w:id="55"/>
    </w:p>
    <w:p>
      <w:bookmarkStart w:id="56" w:name="Xiang_Mu_Wen_Jian_Zhong_Ge_Jie_D"/>
      <w:pPr>
        <w:pStyle w:val="Para 4"/>
      </w:pPr>
      <w:r>
        <w:t/>
      </w:r>
      <w:bookmarkEnd w:id="56"/>
    </w:p>
    <w:p>
      <w:pPr>
        <w:pStyle w:val="Normal"/>
      </w:pPr>
      <w:r>
        <w:t>项目文件中各节点的工料机汇总或整个项目的工料机汇总</w:t>
      </w:r>
    </w:p>
    <w:p>
      <w:pPr>
        <w:pStyle w:val="Normal"/>
      </w:pPr>
      <w:r>
        <w:t>注：在进行工料机价格调整时，务必注意所选择的项目节点</w:t>
      </w:r>
    </w:p>
    <w:p>
      <w:pPr>
        <w:pStyle w:val="2 Block"/>
      </w:pPr>
    </w:p>
    <w:p>
      <w:pPr>
        <w:numPr>
          <w:ilvl w:val="0"/>
          <w:numId w:val="18"/>
        </w:numPr>
        <w:pStyle w:val="Para 1"/>
      </w:pPr>
      <w:r>
        <w:t>浮动率调价：可对需要调整的工料机按类型批量调整浮动率</w:t>
      </w:r>
    </w:p>
    <w:p>
      <w:pPr>
        <w:numPr>
          <w:ilvl w:val="0"/>
          <w:numId w:val="18"/>
        </w:numPr>
        <w:pStyle w:val="Para 1"/>
      </w:pPr>
      <w:r>
        <w:t>选择价格包：选择需要导入或覆盖的价格包类型和时间</w:t>
      </w:r>
    </w:p>
    <w:p>
      <w:pPr>
        <w:numPr>
          <w:ilvl w:val="0"/>
          <w:numId w:val="18"/>
        </w:numPr>
        <w:pStyle w:val="Para 1"/>
      </w:pPr>
      <w:r>
        <w:t>导入总站价格：导入上海定额总站按期发布的excel价格包（某些总站价格包可能因为格式问题无法导入）</w:t>
      </w:r>
    </w:p>
    <w:p>
      <w:pPr>
        <w:numPr>
          <w:ilvl w:val="0"/>
          <w:numId w:val="18"/>
        </w:numPr>
        <w:pStyle w:val="Para 1"/>
      </w:pPr>
      <w:r>
        <w:t>价格清零：可对已有价格的工料机，进行价格清零。支持部分或全部清零。</w:t>
      </w:r>
    </w:p>
    <w:p>
      <w:pPr>
        <w:numPr>
          <w:ilvl w:val="0"/>
          <w:numId w:val="18"/>
        </w:numPr>
        <w:pStyle w:val="Para 1"/>
      </w:pPr>
      <w:r>
        <w:t>重新计算：重新计算调整后的价格信息（当已调价完成切换出工料机汇总页面时也会提示是否重新计算）</w:t>
      </w:r>
    </w:p>
    <w:p>
      <w:pPr>
        <w:pStyle w:val="Para 4"/>
      </w:pPr>
      <w:r>
        <w:t xml:space="preserve"> </w:t>
      </w:r>
    </w:p>
    <w:p>
      <w:bookmarkStart w:id="57" w:name="Top_of_249_html"/>
      <w:pPr>
        <w:pStyle w:val="Heading 1"/>
        <w:pageBreakBefore w:val="on"/>
      </w:pPr>
      <w:r>
        <w:t>工料机汇总右键菜单</w:t>
      </w:r>
      <w:bookmarkEnd w:id="57"/>
    </w:p>
    <w:p>
      <w:bookmarkStart w:id="58" w:name="Xuan_Ze_Jia_Ge_Bao__Xuan_Ze_Xu_Y"/>
      <w:pPr>
        <w:pStyle w:val="Para 4"/>
      </w:pPr>
      <w:r>
        <w:t/>
      </w:r>
      <w:bookmarkEnd w:id="58"/>
    </w:p>
    <w:p>
      <w:pPr>
        <w:pStyle w:val="2 Block"/>
      </w:pPr>
    </w:p>
    <w:p>
      <w:pPr>
        <w:numPr>
          <w:ilvl w:val="0"/>
          <w:numId w:val="7"/>
        </w:numPr>
        <w:pStyle w:val="Para 1"/>
      </w:pPr>
      <w:r>
        <w:t>选择价格包：选择需要导入或覆盖的价格包类型和时间</w:t>
      </w:r>
    </w:p>
    <w:p>
      <w:pPr>
        <w:numPr>
          <w:ilvl w:val="0"/>
          <w:numId w:val="7"/>
        </w:numPr>
        <w:pStyle w:val="Para 1"/>
      </w:pPr>
      <w:r>
        <w:t>按多月平均值载价：多选需要导入或覆盖的价格包类型和时间，软件自动对所选价格包中对应的工料机价格进行加权平均计算</w:t>
      </w:r>
    </w:p>
    <w:p>
      <w:pPr>
        <w:numPr>
          <w:ilvl w:val="0"/>
          <w:numId w:val="7"/>
        </w:numPr>
        <w:pStyle w:val="Para 1"/>
      </w:pPr>
      <w:r>
        <w:t>加载总站信息价：导入上海定额总站按期发布的excel价格包（某些总站价格包可能因为格式问题无法导入）</w:t>
      </w:r>
    </w:p>
    <w:p>
      <w:pPr>
        <w:numPr>
          <w:ilvl w:val="0"/>
          <w:numId w:val="7"/>
        </w:numPr>
        <w:pStyle w:val="Para 1"/>
      </w:pPr>
      <w:r>
        <w:t>价格清零：可对已有价格的工料机，进行价格清零。支持部分或全部清零。</w:t>
      </w:r>
    </w:p>
    <w:p>
      <w:pPr>
        <w:numPr>
          <w:ilvl w:val="0"/>
          <w:numId w:val="7"/>
        </w:numPr>
        <w:pStyle w:val="Para 1"/>
      </w:pPr>
      <w:r>
        <w:t>保存用户价格：保存当前工程中工料机的价格，后缀名为*.yhjg的文件</w:t>
      </w:r>
    </w:p>
    <w:p>
      <w:pPr>
        <w:numPr>
          <w:ilvl w:val="0"/>
          <w:numId w:val="7"/>
        </w:numPr>
        <w:pStyle w:val="Para 1"/>
      </w:pPr>
      <w:r>
        <w:t>载入用户价格：加载已经保存的价格文件，后缀名为*.yhjg的文件</w:t>
      </w:r>
    </w:p>
    <w:p>
      <w:pPr>
        <w:numPr>
          <w:ilvl w:val="0"/>
          <w:numId w:val="7"/>
        </w:numPr>
        <w:pStyle w:val="Para 1"/>
      </w:pPr>
      <w:r>
        <w:t>载入其他文件价格：加载其他文件的价格，后缀名为</w:t>
      </w:r>
      <w:r>
        <w:rPr>
          <w:rStyle w:val="Text0"/>
        </w:rPr>
        <w:t>.yhzb2、</w:t>
      </w:r>
      <w:r>
        <w:t>.yhtb2、</w:t>
      </w:r>
      <w:r>
        <w:rPr>
          <w:rStyle w:val="Text0"/>
        </w:rPr>
        <w:t>.yhjs2、</w:t>
      </w:r>
      <w:r>
        <w:t>.yhqd3、*.yhsh2</w:t>
      </w:r>
    </w:p>
    <w:p>
      <w:pPr>
        <w:numPr>
          <w:ilvl w:val="0"/>
          <w:numId w:val="7"/>
        </w:numPr>
        <w:pStyle w:val="Para 1"/>
      </w:pPr>
      <w:r>
        <w:t>浮动率调价：可对需要调整的工料机按类型批量调整浮动率</w:t>
      </w:r>
    </w:p>
    <w:p>
      <w:pPr>
        <w:numPr>
          <w:ilvl w:val="0"/>
          <w:numId w:val="7"/>
        </w:numPr>
        <w:pStyle w:val="Para 1"/>
      </w:pPr>
      <w:r>
        <w:t>来源分析：可反查此条工料机的清单来源</w:t>
      </w:r>
    </w:p>
    <w:p>
      <w:pPr>
        <w:numPr>
          <w:ilvl w:val="0"/>
          <w:numId w:val="7"/>
        </w:numPr>
        <w:pStyle w:val="Para 1"/>
      </w:pPr>
      <w:r>
        <w:t>价格包管理：管理价格包数据，可下载最新的价格包</w:t>
      </w:r>
    </w:p>
    <w:p>
      <w:pPr>
        <w:numPr>
          <w:ilvl w:val="0"/>
          <w:numId w:val="7"/>
        </w:numPr>
        <w:pStyle w:val="Para 1"/>
      </w:pPr>
      <w:r>
        <w:t>材料税率调整：根据相关发文要求，批量调整材料折算率：除税价不变根据最新的折算率调整含税价，同时支持含税价不变根据最新的折算率调整除税价（目前软件按（沪建市管[2019]19号文规定），响应最新《上海市建设工程各类材料增值税率的折算率表》要求。2019年4月1日起实施）</w:t>
      </w:r>
    </w:p>
    <w:p>
      <w:pPr>
        <w:pStyle w:val="Para 4"/>
      </w:pPr>
      <w:r>
        <w:t xml:space="preserve"> </w:t>
      </w:r>
    </w:p>
    <w:p>
      <w:bookmarkStart w:id="59" w:name="Top_of_250_html"/>
      <w:pPr>
        <w:pStyle w:val="Heading 1"/>
        <w:pageBreakBefore w:val="on"/>
      </w:pPr>
      <w:r>
        <w:t>费率设置</w:t>
      </w:r>
      <w:bookmarkEnd w:id="59"/>
    </w:p>
    <w:p>
      <w:bookmarkStart w:id="60" w:name="Ge_Zhuan_Ye_Jin_Xing_Fei_Lu_She"/>
      <w:pPr>
        <w:pStyle w:val="Para 4"/>
      </w:pPr>
      <w:r>
        <w:t/>
      </w:r>
      <w:bookmarkEnd w:id="60"/>
    </w:p>
    <w:p>
      <w:pPr>
        <w:pStyle w:val="Normal"/>
      </w:pPr>
      <w:r>
        <w:t>各专业进行费率设置</w:t>
      </w:r>
    </w:p>
    <w:p>
      <w:pPr>
        <w:numPr>
          <w:ilvl w:val="0"/>
          <w:numId w:val="12"/>
        </w:numPr>
        <w:pStyle w:val="Para 1"/>
      </w:pPr>
      <w:r>
        <w:t>按专业工程设置费率：统一按项目中各专业进行费率设置（ 仅在工程项目总节点使用）</w:t>
      </w:r>
    </w:p>
    <w:p>
      <w:pPr>
        <w:numPr>
          <w:ilvl w:val="0"/>
          <w:numId w:val="12"/>
        </w:numPr>
        <w:pStyle w:val="Para 1"/>
      </w:pPr>
      <w:r>
        <w:t>参考最新文件规定设置： 默认按照上海市现行发布规范与标准，填入规费与增值税费率</w:t>
        <w:br w:clear="none"/>
      </w:r>
    </w:p>
    <w:p>
      <w:pPr>
        <w:numPr>
          <w:ilvl w:val="0"/>
          <w:numId w:val="14"/>
        </w:numPr>
        <w:pStyle w:val="Para 1"/>
      </w:pPr>
      <w:r>
        <w:t>应用费率：设置后的费率可以进行费用应用（当已设置完成切换出费率设置页面时软件会自动应用费率 ）</w:t>
      </w:r>
    </w:p>
    <w:p>
      <w:pPr>
        <w:numPr>
          <w:ilvl w:val="0"/>
          <w:numId w:val="14"/>
        </w:numPr>
        <w:pStyle w:val="Para 1"/>
      </w:pPr>
      <w:r>
        <w:t>显示费率说明： 查看最新的上海市现行发布规范与标准中费率说明</w:t>
      </w:r>
    </w:p>
    <w:p>
      <w:pPr>
        <w:pStyle w:val="Para 4"/>
      </w:pPr>
      <w:r>
        <w:t xml:space="preserve"> </w:t>
      </w:r>
    </w:p>
    <w:p>
      <w:bookmarkStart w:id="61" w:name="Top_of_251_html"/>
      <w:pPr>
        <w:pStyle w:val="Heading 1"/>
        <w:pageBreakBefore w:val="on"/>
      </w:pPr>
      <w:r>
        <w:t>导航菜单功能</w:t>
      </w:r>
      <w:bookmarkEnd w:id="61"/>
    </w:p>
    <w:p>
      <w:bookmarkStart w:id="62" w:name="page_content_8"/>
      <w:pPr>
        <w:pStyle w:val="Para 4"/>
      </w:pPr>
      <w:r>
        <w:t/>
      </w:r>
      <w:bookmarkEnd w:id="62"/>
    </w:p>
    <w:p>
      <w:bookmarkStart w:id="63" w:name="Top_of_252_html"/>
      <w:pPr>
        <w:pStyle w:val="Heading 1"/>
        <w:pageBreakBefore w:val="on"/>
      </w:pPr>
      <w:r>
        <w:t>智能组价</w:t>
      </w:r>
      <w:bookmarkEnd w:id="63"/>
    </w:p>
    <w:p>
      <w:bookmarkStart w:id="64" w:name="Ruan_Jian_Shou_Chuang_Ye_Nei_Lin"/>
      <w:pPr>
        <w:pStyle w:val="Para 4"/>
      </w:pPr>
      <w:r>
        <w:t/>
      </w:r>
      <w:bookmarkEnd w:id="64"/>
    </w:p>
    <w:p>
      <w:pPr>
        <w:pStyle w:val="Normal"/>
      </w:pPr>
      <w:r>
        <w:t>软件首创业内领先智能组价方案，结合建筑行业大数据应用与互联网云计算的优势，根据招标清单中所含项目特征与工作内容进行智能算法分析，为用户提供更便捷更优化的定额套取方案</w:t>
      </w:r>
    </w:p>
    <w:p>
      <w:pPr>
        <w:pStyle w:val="2 Block"/>
      </w:pPr>
    </w:p>
    <w:p>
      <w:pPr>
        <w:pStyle w:val="2 Block"/>
      </w:pPr>
    </w:p>
    <w:p>
      <w:pPr>
        <w:pStyle w:val="Para 4"/>
      </w:pPr>
      <w:r>
        <w:t xml:space="preserve"> </w:t>
      </w:r>
    </w:p>
    <w:p>
      <w:bookmarkStart w:id="65" w:name="Top_of_253_html"/>
      <w:pPr>
        <w:pStyle w:val="Heading 1"/>
        <w:pageBreakBefore w:val="on"/>
      </w:pPr>
      <w:r>
        <w:t>复用组价</w:t>
      </w:r>
      <w:bookmarkEnd w:id="65"/>
    </w:p>
    <w:p>
      <w:bookmarkStart w:id="66" w:name="page_content_9"/>
      <w:pPr>
        <w:pStyle w:val="Para 4"/>
      </w:pPr>
      <w:r>
        <w:t/>
      </w:r>
      <w:bookmarkEnd w:id="66"/>
    </w:p>
    <w:p>
      <w:bookmarkStart w:id="67" w:name="Top_of_254_html"/>
      <w:pPr>
        <w:pStyle w:val="Heading 1"/>
        <w:pageBreakBefore w:val="on"/>
      </w:pPr>
      <w:r>
        <w:t>合并组价</w:t>
      </w:r>
      <w:bookmarkEnd w:id="67"/>
    </w:p>
    <w:p>
      <w:bookmarkStart w:id="68" w:name="Gen_Ju_Tiao_Jian_Jiang_Jin_Si_Qi"/>
      <w:pPr>
        <w:pStyle w:val="Para 4"/>
      </w:pPr>
      <w:r>
        <w:t/>
      </w:r>
      <w:bookmarkEnd w:id="68"/>
    </w:p>
    <w:p>
      <w:pPr>
        <w:pStyle w:val="Normal"/>
      </w:pPr>
      <w:r>
        <w:t>根据条件将近似清单（9位编码相同、名称相同、特征描述相同等条件）合并后再进行组价</w:t>
      </w:r>
    </w:p>
    <w:p>
      <w:pPr>
        <w:pStyle w:val="Normal"/>
      </w:pPr>
      <w:r>
        <w:t>可同时选择不同专业同时合并后进行组价</w:t>
      </w:r>
    </w:p>
    <w:p>
      <w:pPr>
        <w:pStyle w:val="2 Block"/>
      </w:pPr>
    </w:p>
    <w:p>
      <w:pPr>
        <w:pStyle w:val="Para 4"/>
      </w:pPr>
      <w:r>
        <w:t xml:space="preserve"> </w:t>
      </w:r>
    </w:p>
    <w:p>
      <w:bookmarkStart w:id="69" w:name="Top_of_255_html"/>
      <w:pPr>
        <w:pStyle w:val="Heading 1"/>
        <w:pageBreakBefore w:val="on"/>
      </w:pPr>
      <w:r>
        <w:t>清单匹配导入</w:t>
      </w:r>
      <w:bookmarkEnd w:id="69"/>
    </w:p>
    <w:p>
      <w:bookmarkStart w:id="70" w:name="Ke_Jiang_Yi_You_Zu_Jia_Xin_Xi_De"/>
      <w:pPr>
        <w:pStyle w:val="Para 4"/>
      </w:pPr>
      <w:r>
        <w:t/>
      </w:r>
      <w:bookmarkEnd w:id="70"/>
    </w:p>
    <w:p>
      <w:pPr>
        <w:pStyle w:val="Normal"/>
      </w:pPr>
      <w:r>
        <w:t>可将已有组价信息的清单匹配到目标清单，已有组价信息的清单可选择单位工程或分部工程</w:t>
        <w:br w:clear="none"/>
      </w:r>
    </w:p>
    <w:p>
      <w:pPr>
        <w:pStyle w:val="Para 4"/>
      </w:pPr>
      <w:r>
        <w:t xml:space="preserve"> </w:t>
      </w:r>
    </w:p>
    <w:p>
      <w:bookmarkStart w:id="71" w:name="Top_of_256_html"/>
      <w:pPr>
        <w:pStyle w:val="Heading 1"/>
        <w:pageBreakBefore w:val="on"/>
      </w:pPr>
      <w:r>
        <w:t>项目调价</w:t>
      </w:r>
      <w:bookmarkEnd w:id="71"/>
    </w:p>
    <w:p>
      <w:bookmarkStart w:id="72" w:name="page_content_10"/>
      <w:pPr>
        <w:pStyle w:val="Para 4"/>
      </w:pPr>
      <w:r>
        <w:t/>
      </w:r>
      <w:bookmarkEnd w:id="72"/>
    </w:p>
    <w:p>
      <w:bookmarkStart w:id="73" w:name="Top_of_257_html"/>
      <w:pPr>
        <w:pStyle w:val="Heading 1"/>
        <w:pageBreakBefore w:val="on"/>
      </w:pPr>
      <w:r>
        <w:t>目标调价</w:t>
      </w:r>
      <w:bookmarkEnd w:id="73"/>
    </w:p>
    <w:p>
      <w:bookmarkStart w:id="74" w:name="Gen_Ju_Mu_Biao_Zao_Jia_Yao_Qiu"/>
      <w:pPr>
        <w:pStyle w:val="Para 4"/>
      </w:pPr>
      <w:r>
        <w:t/>
      </w:r>
      <w:bookmarkEnd w:id="74"/>
    </w:p>
    <w:p>
      <w:pPr>
        <w:pStyle w:val="Normal"/>
      </w:pPr>
      <w:r>
        <w:t>根据目标造价要求，通过对工料机消耗量或单价批量进行调整，</w:t>
      </w:r>
    </w:p>
    <w:p>
      <w:pPr>
        <w:pStyle w:val="Normal"/>
      </w:pPr>
      <w:r>
        <w:t>可按目标造价金额或调整前造价比例进行目标调价</w:t>
      </w:r>
    </w:p>
    <w:p>
      <w:pPr>
        <w:pStyle w:val="Normal"/>
      </w:pPr>
      <w:r>
        <w:t>也可以锁定部分人材机不参与调价</w:t>
      </w:r>
    </w:p>
    <w:p>
      <w:pPr>
        <w:pStyle w:val="2 Block"/>
      </w:pPr>
    </w:p>
    <w:p>
      <w:pPr>
        <w:pStyle w:val="Para 4"/>
      </w:pPr>
      <w:r>
        <w:t xml:space="preserve"> </w:t>
      </w:r>
    </w:p>
    <w:p>
      <w:bookmarkStart w:id="75" w:name="Top_of_258_html"/>
      <w:pPr>
        <w:pStyle w:val="Heading 1"/>
        <w:pageBreakBefore w:val="on"/>
      </w:pPr>
      <w:r>
        <w:t>系数调价</w:t>
      </w:r>
      <w:bookmarkEnd w:id="75"/>
    </w:p>
    <w:p>
      <w:bookmarkStart w:id="76" w:name="Tong_Guo_Dui_Gong_Liao_Ji_Xiao_H"/>
      <w:pPr>
        <w:pStyle w:val="Para 4"/>
      </w:pPr>
      <w:r>
        <w:t/>
      </w:r>
      <w:bookmarkEnd w:id="76"/>
    </w:p>
    <w:p>
      <w:pPr>
        <w:pStyle w:val="Normal"/>
      </w:pPr>
      <w:r>
        <w:t>通过对工料机消耗量或单价批量进行系数调整，</w:t>
      </w:r>
    </w:p>
    <w:p>
      <w:pPr>
        <w:pStyle w:val="Normal"/>
      </w:pPr>
      <w:r>
        <w:t>可以锁定部分人材机不参与调价</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261100"/>
            <wp:effectExtent b="0" l="0" r="0" t="0"/>
            <wp:wrapTopAndBottom/>
            <wp:docPr descr="m_d750cd004aef4ef5e80f20305d63d7a4_r.png" id="5" name="m_d750cd004aef4ef5e80f20305d63d7a4_r.png"/>
            <wp:cNvGraphicFramePr>
              <a:graphicFrameLocks noChangeAspect="1"/>
            </wp:cNvGraphicFramePr>
            <a:graphic>
              <a:graphicData uri="http://schemas.openxmlformats.org/drawingml/2006/picture">
                <pic:pic>
                  <pic:nvPicPr>
                    <pic:cNvPr descr="m_d750cd004aef4ef5e80f20305d63d7a4_r.png" id="0" name="m_d750cd004aef4ef5e80f20305d63d7a4_r.png"/>
                    <pic:cNvPicPr/>
                  </pic:nvPicPr>
                  <pic:blipFill>
                    <a:blip r:embed="rId9"/>
                    <a:stretch>
                      <a:fillRect/>
                    </a:stretch>
                  </pic:blipFill>
                  <pic:spPr>
                    <a:xfrm>
                      <a:off x="0" y="0"/>
                      <a:ext cx="5727700" cy="6261100"/>
                    </a:xfrm>
                    <a:prstGeom prst="rect">
                      <a:avLst/>
                    </a:prstGeom>
                  </pic:spPr>
                </pic:pic>
              </a:graphicData>
            </a:graphic>
          </wp:anchor>
        </w:drawing>
      </w:r>
    </w:p>
    <w:p>
      <w:pPr>
        <w:pStyle w:val="Para 4"/>
      </w:pPr>
      <w:r>
        <w:t xml:space="preserve"> </w:t>
      </w:r>
    </w:p>
    <w:p>
      <w:bookmarkStart w:id="77" w:name="Top_of_2160_html"/>
      <w:pPr>
        <w:pStyle w:val="Heading 1"/>
        <w:pageBreakBefore w:val="on"/>
      </w:pPr>
      <w:r>
        <w:t>参考控制价</w:t>
      </w:r>
      <w:bookmarkEnd w:id="77"/>
    </w:p>
    <w:p>
      <w:bookmarkStart w:id="78" w:name="Gen_Ju_Kong_Zhi_Jia_Wen_Jian_Yao"/>
      <w:pPr>
        <w:pStyle w:val="Para 4"/>
      </w:pPr>
      <w:r>
        <w:t/>
      </w:r>
      <w:bookmarkEnd w:id="78"/>
    </w:p>
    <w:p>
      <w:pPr>
        <w:pStyle w:val="Normal"/>
      </w:pPr>
      <w:r>
        <w:t>根据控制价文件要求，通过对定额工程量或工料机含量批量进行调整，</w:t>
      </w:r>
    </w:p>
    <w:p>
      <w:pPr>
        <w:pStyle w:val="Normal"/>
      </w:pPr>
      <w:r>
        <w:t>调整工料机含量时，可以锁定部分人材机不参与调价。</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108700"/>
            <wp:effectExtent b="0" l="0" r="0" t="0"/>
            <wp:wrapTopAndBottom/>
            <wp:docPr descr="m_9065401168dd8f2779053357f22b4e76_r.png" id="6" name="m_9065401168dd8f2779053357f22b4e76_r.png"/>
            <wp:cNvGraphicFramePr>
              <a:graphicFrameLocks noChangeAspect="1"/>
            </wp:cNvGraphicFramePr>
            <a:graphic>
              <a:graphicData uri="http://schemas.openxmlformats.org/drawingml/2006/picture">
                <pic:pic>
                  <pic:nvPicPr>
                    <pic:cNvPr descr="m_9065401168dd8f2779053357f22b4e76_r.png" id="0" name="m_9065401168dd8f2779053357f22b4e76_r.png"/>
                    <pic:cNvPicPr/>
                  </pic:nvPicPr>
                  <pic:blipFill>
                    <a:blip r:embed="rId10"/>
                    <a:stretch>
                      <a:fillRect/>
                    </a:stretch>
                  </pic:blipFill>
                  <pic:spPr>
                    <a:xfrm>
                      <a:off x="0" y="0"/>
                      <a:ext cx="5727700" cy="6108700"/>
                    </a:xfrm>
                    <a:prstGeom prst="rect">
                      <a:avLst/>
                    </a:prstGeom>
                  </pic:spPr>
                </pic:pic>
              </a:graphicData>
            </a:graphic>
          </wp:anchor>
        </w:drawing>
      </w:r>
    </w:p>
    <w:p>
      <w:pPr>
        <w:pStyle w:val="Para 4"/>
      </w:pPr>
      <w:r>
        <w:t xml:space="preserve"> </w:t>
      </w:r>
    </w:p>
    <w:p>
      <w:bookmarkStart w:id="79" w:name="Top_of_259_html"/>
      <w:pPr>
        <w:pStyle w:val="Heading 1"/>
        <w:pageBreakBefore w:val="on"/>
      </w:pPr>
      <w:r>
        <w:t>检查</w:t>
      </w:r>
      <w:bookmarkEnd w:id="79"/>
    </w:p>
    <w:p>
      <w:bookmarkStart w:id="80" w:name="Xiang_Mu_Bian_Ji_Wan_Cheng_Hou_K"/>
      <w:pPr>
        <w:pStyle w:val="Para 4"/>
      </w:pPr>
      <w:r>
        <w:t/>
      </w:r>
      <w:bookmarkEnd w:id="80"/>
    </w:p>
    <w:p>
      <w:pPr>
        <w:pStyle w:val="Normal"/>
      </w:pPr>
      <w:r>
        <w:t>项目编辑完成后可进行标书检查，也可在编辑过程中使用</w:t>
      </w:r>
    </w:p>
    <w:p>
      <w:pPr>
        <w:numPr>
          <w:ilvl w:val="0"/>
          <w:numId w:val="20"/>
        </w:numPr>
        <w:pStyle w:val="Para 5"/>
      </w:pPr>
      <w:r>
        <w:t>房修项目中输入四项措施费用费率和企业管理利润费率即可执行检查，检查结果出现红色字体，可反查到错误来源</w:t>
        <w:br w:clear="none"/>
      </w:r>
    </w:p>
    <w:p>
      <w:pPr>
        <w:numPr>
          <w:ilvl w:val="0"/>
          <w:numId w:val="16"/>
        </w:numPr>
        <w:pStyle w:val="Para 5"/>
      </w:pPr>
      <w:r>
        <w:t>新建项目中输入四项措施费率即可执行检查，检查结果出现红色字体，可反查到错误来源</w:t>
      </w:r>
    </w:p>
    <w:p>
      <w:pPr>
        <w:pStyle w:val="2 Block"/>
      </w:pPr>
    </w:p>
    <w:p>
      <w:pPr>
        <w:pStyle w:val="Para 4"/>
      </w:pPr>
      <w:r>
        <w:t xml:space="preserve"> </w:t>
      </w:r>
    </w:p>
    <w:p>
      <w:bookmarkStart w:id="81" w:name="Top_of_260_html"/>
      <w:pPr>
        <w:pStyle w:val="Heading 1"/>
        <w:pageBreakBefore w:val="on"/>
      </w:pPr>
      <w:r>
        <w:t>生成标书</w:t>
      </w:r>
      <w:bookmarkEnd w:id="81"/>
    </w:p>
    <w:p>
      <w:bookmarkStart w:id="82" w:name="Xin_Jian_Xiang_Mu_Bian_Ji_Wan_Ch"/>
      <w:pPr>
        <w:pStyle w:val="Para 4"/>
      </w:pPr>
      <w:r>
        <w:t/>
      </w:r>
      <w:bookmarkEnd w:id="82"/>
    </w:p>
    <w:p>
      <w:pPr>
        <w:pStyle w:val="Normal"/>
      </w:pPr>
      <w:r>
        <w:t>新建项目编辑完成，点击生成标书预检查后可生成*.FXTB文件</w:t>
      </w:r>
    </w:p>
    <w:p>
      <w:pPr>
        <w:pStyle w:val="2 Block"/>
      </w:pPr>
    </w:p>
    <w:p>
      <w:pPr>
        <w:pStyle w:val="Para 4"/>
      </w:pPr>
      <w:r>
        <w:t xml:space="preserve"> </w:t>
      </w:r>
    </w:p>
    <w:p>
      <w:bookmarkStart w:id="83" w:name="Top_of_289_html"/>
      <w:pPr>
        <w:pStyle w:val="Heading 1"/>
        <w:pageBreakBefore w:val="on"/>
      </w:pPr>
      <w:r>
        <w:t>报表</w:t>
      </w:r>
      <w:bookmarkEnd w:id="83"/>
    </w:p>
    <w:p>
      <w:bookmarkStart w:id="84" w:name="Dui_Xiang_Mu_Wen_Jian_Jin_Xing_D"/>
      <w:pPr>
        <w:pStyle w:val="Para 4"/>
      </w:pPr>
      <w:r>
        <w:t/>
      </w:r>
      <w:bookmarkEnd w:id="84"/>
    </w:p>
    <w:p>
      <w:pPr>
        <w:pStyle w:val="Normal"/>
      </w:pPr>
      <w:r>
        <w:t>对项目文件进行打印和导出，批量导出报表Excel默认新增文件夹</w:t>
      </w:r>
    </w:p>
    <w:p>
      <w:pPr>
        <w:pStyle w:val="Normal"/>
      </w:pPr>
      <w:r>
        <w:t>双击报表名称中的报表可预览</w:t>
      </w:r>
    </w:p>
    <w:p>
      <w:pPr>
        <w:pStyle w:val="Normal"/>
      </w:pPr>
      <w:r>
        <w:t>点击报表，鼠标右键可自定义修改标题</w:t>
      </w:r>
    </w:p>
    <w:p>
      <w:pPr>
        <w:pStyle w:val="2 Block"/>
      </w:pPr>
    </w:p>
    <w:p>
      <w:pPr>
        <w:numPr>
          <w:ilvl w:val="0"/>
          <w:numId w:val="8"/>
        </w:numPr>
        <w:pStyle w:val="Para 1"/>
      </w:pPr>
      <w:r>
        <w:t>方案管理：批量选择需要的报表，设置成报表方案，可在报表方案中下拉选择</w:t>
      </w:r>
    </w:p>
    <w:p>
      <w:pPr>
        <w:numPr>
          <w:ilvl w:val="0"/>
          <w:numId w:val="8"/>
        </w:numPr>
        <w:pStyle w:val="Para 1"/>
      </w:pPr>
      <w:r>
        <w:t>展开：报表可显示展开到整体、单项、单位工程节点</w:t>
      </w:r>
    </w:p>
    <w:p>
      <w:pPr>
        <w:numPr>
          <w:ilvl w:val="0"/>
          <w:numId w:val="8"/>
        </w:numPr>
        <w:pStyle w:val="Para 1"/>
      </w:pPr>
      <w:r>
        <w:t>设置勾选同名称报表：选择或者取消选中行同名的报表</w:t>
      </w:r>
    </w:p>
    <w:p>
      <w:pPr>
        <w:pStyle w:val="2 Block"/>
      </w:pPr>
    </w:p>
    <w:p>
      <w:pPr>
        <w:pStyle w:val="Para 4"/>
      </w:pPr>
      <w:r>
        <w:t xml:space="preserve"> </w:t>
      </w:r>
    </w:p>
    <w:p>
      <w:bookmarkStart w:id="85" w:name="Top_of_261_html"/>
      <w:pPr>
        <w:pStyle w:val="Heading 1"/>
        <w:pageBreakBefore w:val="on"/>
      </w:pPr>
      <w:r>
        <w:t>专业功能</w:t>
      </w:r>
      <w:bookmarkEnd w:id="85"/>
    </w:p>
    <w:p>
      <w:bookmarkStart w:id="86" w:name="page_content_11"/>
      <w:pPr>
        <w:pStyle w:val="Para 4"/>
      </w:pPr>
      <w:r>
        <w:t/>
      </w:r>
      <w:bookmarkEnd w:id="86"/>
    </w:p>
    <w:p>
      <w:bookmarkStart w:id="87" w:name="Top_of_262_html"/>
      <w:pPr>
        <w:pStyle w:val="Heading 1"/>
        <w:pageBreakBefore w:val="on"/>
      </w:pPr>
      <w:r>
        <w:t>册章综合系数设置</w:t>
      </w:r>
      <w:bookmarkEnd w:id="87"/>
    </w:p>
    <w:p>
      <w:bookmarkStart w:id="88" w:name="An_Zhuang_Zhuan_Ye_Gong_Neng__To"/>
      <w:pPr>
        <w:pStyle w:val="Para 4"/>
      </w:pPr>
      <w:r>
        <w:t/>
      </w:r>
      <w:bookmarkEnd w:id="88"/>
    </w:p>
    <w:p>
      <w:pPr>
        <w:pStyle w:val="Normal"/>
      </w:pPr>
      <w:r>
        <w:t>安装专业功能：统一设置安装册章综合系数（软件默认按照上海安装2016预算定额各章册说明内置计算规则）</w:t>
      </w:r>
    </w:p>
    <w:p>
      <w:pPr>
        <w:pStyle w:val="Normal"/>
      </w:pPr>
      <w:r>
        <w:t>可以选择设置范围为：整体项目、单位工程、分部工程、架手架搭拆费、系统调试费勾选即代表计算此项费用</w:t>
      </w:r>
    </w:p>
    <w:p>
      <w:pPr>
        <w:pStyle w:val="Normal"/>
      </w:pPr>
      <w:r>
        <w:t>高层建筑增加费需要填入该工程高层建筑的层数即计算此项费用</w:t>
      </w:r>
    </w:p>
    <w:p>
      <w:pPr>
        <w:pStyle w:val="2 Block"/>
      </w:pPr>
    </w:p>
    <w:p>
      <w:pPr>
        <w:pStyle w:val="Normal"/>
      </w:pPr>
      <w:r>
        <w:t>可将册章综合费用统一记取至分部或措施</w:t>
      </w:r>
    </w:p>
    <w:p>
      <w:pPr>
        <w:pStyle w:val="Normal"/>
      </w:pPr>
      <w:r>
        <w:t>也可将册章综合费用统一记取至某条清单子目下</w:t>
      </w:r>
    </w:p>
    <w:p>
      <w:pPr>
        <w:pStyle w:val="Normal"/>
      </w:pPr>
      <w:r>
        <w:t>需在清单行右键操作选取</w:t>
      </w:r>
    </w:p>
    <w:p>
      <w:pPr>
        <w:pStyle w:val="2 Block"/>
      </w:pPr>
    </w:p>
    <w:p>
      <w:pPr>
        <w:pStyle w:val="Para 4"/>
      </w:pPr>
      <w:r>
        <w:t xml:space="preserve"> </w:t>
      </w:r>
    </w:p>
    <w:p>
      <w:bookmarkStart w:id="89" w:name="Top_of_263_html"/>
      <w:pPr>
        <w:pStyle w:val="Heading 1"/>
        <w:pageBreakBefore w:val="on"/>
      </w:pPr>
      <w:r>
        <w:t>零星材料通用机械</w:t>
      </w:r>
      <w:bookmarkEnd w:id="89"/>
    </w:p>
    <w:p>
      <w:bookmarkStart w:id="90" w:name="Fang_Xiu_Zhuan_Ye_Gong_Neng__Dui"/>
      <w:pPr>
        <w:pStyle w:val="Para 4"/>
      </w:pPr>
      <w:r>
        <w:t/>
      </w:r>
      <w:bookmarkEnd w:id="90"/>
    </w:p>
    <w:p>
      <w:pPr>
        <w:pStyle w:val="Normal"/>
      </w:pPr>
      <w:r>
        <w:t>房修专业功能：对零星材料与通用机械费率进行调整（软件默认按照上海房修2016预算定额总说明内置计算规则）</w:t>
      </w:r>
    </w:p>
    <w:p>
      <w:pPr>
        <w:pStyle w:val="2 Block"/>
      </w:pPr>
    </w:p>
    <w:p>
      <w:pPr>
        <w:pStyle w:val="Normal"/>
      </w:pPr>
      <w:r>
        <w:t>零星材料费=定额直接费中材料费之和乘以规定系数</w:t>
      </w:r>
    </w:p>
    <w:p>
      <w:pPr>
        <w:pStyle w:val="Normal"/>
      </w:pPr>
      <w:r>
        <w:t>通用机械使用费=定额直接费乘以规定系数（人工费、材料费、专用机械费之和）</w:t>
      </w:r>
    </w:p>
    <w:p>
      <w:pPr>
        <w:pStyle w:val="Normal"/>
      </w:pPr>
      <w:r>
        <w:t>因房修专业综合单价中将机械费分成专用机械与通用机械，详见下表。在房修专业借用其余专业子目进行组价时，除专用机械外会将其余专业中所含机械归类到通用机械，需手动设置对应房修章节</w:t>
      </w:r>
    </w:p>
    <w:p>
      <w:pPr>
        <w:pStyle w:val="2 Block"/>
      </w:pPr>
    </w:p>
    <w:p>
      <w:pPr>
        <w:pStyle w:val="Para 4"/>
      </w:pPr>
      <w:r>
        <w:t xml:space="preserve"> </w:t>
      </w:r>
    </w:p>
    <w:p>
      <w:bookmarkStart w:id="91" w:name="Top_of_264_html"/>
      <w:pPr>
        <w:pStyle w:val="Heading 1"/>
        <w:pageBreakBefore w:val="on"/>
      </w:pPr>
      <w:r>
        <w:t>周转材料设定</w:t>
      </w:r>
      <w:bookmarkEnd w:id="91"/>
    </w:p>
    <w:p>
      <w:bookmarkStart w:id="92" w:name="Fang_Xiu_Zhuan_Ye_Gong_Neng__Dui_1"/>
      <w:pPr>
        <w:pStyle w:val="Para 4"/>
      </w:pPr>
      <w:r>
        <w:t/>
      </w:r>
      <w:bookmarkEnd w:id="92"/>
    </w:p>
    <w:p>
      <w:pPr>
        <w:pStyle w:val="Normal"/>
      </w:pPr>
      <w:r>
        <w:t>房修专业功能：对项目涉及周转材料的内容进行设置（软件默认按照上海房修2016预算定额各章说明内置计算规则）</w:t>
      </w:r>
    </w:p>
    <w:p>
      <w:pPr>
        <w:pStyle w:val="2 Block"/>
      </w:pPr>
    </w:p>
    <w:p>
      <w:pPr>
        <w:pStyle w:val="Para 4"/>
      </w:pPr>
      <w:r>
        <w:t xml:space="preserve"> </w:t>
      </w:r>
    </w:p>
    <w:p>
      <w:bookmarkStart w:id="93" w:name="Top_of_265_html"/>
      <w:pPr>
        <w:pStyle w:val="Heading 1"/>
        <w:pageBreakBefore w:val="on"/>
      </w:pPr>
      <w:r>
        <w:t>超高子目设置</w:t>
      </w:r>
      <w:bookmarkEnd w:id="93"/>
    </w:p>
    <w:p>
      <w:bookmarkStart w:id="94" w:name="Dui_Xiang_Mu_Zhong_She_Ji_Dao_Xu"/>
      <w:pPr>
        <w:pStyle w:val="Para 4"/>
      </w:pPr>
      <w:r>
        <w:t/>
      </w:r>
      <w:bookmarkEnd w:id="94"/>
    </w:p>
    <w:p>
      <w:pPr>
        <w:pStyle w:val="Normal"/>
      </w:pPr>
      <w:r>
        <w:t>对项目中涉及到需要计算超高的定额子目进行超高设置（软件默认按照上海2016预算定额中各专业说明内置计算规则）</w:t>
      </w:r>
    </w:p>
    <w:p>
      <w:pPr>
        <w:pStyle w:val="Normal"/>
      </w:pPr>
      <w:r>
        <w:t>需要在定额行上勾选是否超高并设置超高高度及工程</w:t>
      </w:r>
    </w:p>
    <w:p>
      <w:pPr>
        <w:pStyle w:val="2 Block"/>
      </w:pPr>
    </w:p>
    <w:p>
      <w:pPr>
        <w:pStyle w:val="2 Block"/>
      </w:pPr>
    </w:p>
    <w:p>
      <w:pPr>
        <w:pStyle w:val="Para 4"/>
      </w:pPr>
      <w:r>
        <w:t xml:space="preserve"> </w:t>
      </w:r>
    </w:p>
    <w:p>
      <w:bookmarkStart w:id="95" w:name="Top_of_266_html"/>
      <w:pPr>
        <w:pStyle w:val="Heading 1"/>
        <w:pageBreakBefore w:val="on"/>
      </w:pPr>
      <w:r>
        <w:t>查找</w:t>
      </w:r>
      <w:bookmarkEnd w:id="95"/>
    </w:p>
    <w:p>
      <w:bookmarkStart w:id="96" w:name="Gen_Ju_Guan_Jian_Zi_Zai_Gui_Ding"/>
      <w:pPr>
        <w:pStyle w:val="Para 4"/>
      </w:pPr>
      <w:r>
        <w:t/>
      </w:r>
      <w:bookmarkEnd w:id="96"/>
    </w:p>
    <w:p>
      <w:pPr>
        <w:pStyle w:val="Normal"/>
      </w:pPr>
      <w:r>
        <w:t>根据关键字在规定范围内可进行搜索查找</w:t>
        <w:br w:clear="none"/>
      </w:r>
    </w:p>
    <w:p>
      <w:pPr>
        <w:pStyle w:val="Para 4"/>
      </w:pPr>
      <w:r>
        <w:t xml:space="preserve"> </w:t>
      </w:r>
    </w:p>
    <w:p>
      <w:bookmarkStart w:id="97" w:name="Top_of_292_html"/>
      <w:pPr>
        <w:pStyle w:val="Heading 1"/>
        <w:pageBreakBefore w:val="on"/>
      </w:pPr>
      <w:r>
        <w:t>一键插入暂估价材料</w:t>
      </w:r>
      <w:bookmarkEnd w:id="97"/>
    </w:p>
    <w:p>
      <w:bookmarkStart w:id="98" w:name="Ru_Yao_Pi_Liang_She_Zhi_Zan_Gu_J"/>
      <w:pPr>
        <w:pStyle w:val="Para 4"/>
      </w:pPr>
      <w:r>
        <w:t/>
      </w:r>
      <w:bookmarkEnd w:id="98"/>
    </w:p>
    <w:p>
      <w:pPr>
        <w:pStyle w:val="Normal"/>
      </w:pPr>
      <w:r>
        <w:t>如要批量设置暂估价材料，可点击一键插入暂估材料，即可全部响应</w:t>
      </w:r>
    </w:p>
    <w:p>
      <w:pPr>
        <w:pStyle w:val="Para 4"/>
      </w:pPr>
      <w:r>
        <w:t xml:space="preserve"> </w:t>
      </w:r>
    </w:p>
    <w:p>
      <w:bookmarkStart w:id="99" w:name="Top_of_268_html"/>
      <w:pPr>
        <w:pStyle w:val="Heading 1"/>
        <w:pageBreakBefore w:val="on"/>
      </w:pPr>
      <w:r>
        <w:t>专业助手</w:t>
      </w:r>
      <w:bookmarkEnd w:id="99"/>
    </w:p>
    <w:p>
      <w:bookmarkStart w:id="100" w:name="page_content_12"/>
      <w:pPr>
        <w:pStyle w:val="Para 4"/>
      </w:pPr>
      <w:r>
        <w:t/>
      </w:r>
      <w:bookmarkEnd w:id="100"/>
    </w:p>
    <w:p>
      <w:bookmarkStart w:id="101" w:name="Top_of_269_html"/>
      <w:pPr>
        <w:pStyle w:val="Heading 1"/>
        <w:pageBreakBefore w:val="on"/>
      </w:pPr>
      <w:r>
        <w:t>易纵助手</w:t>
      </w:r>
      <w:bookmarkEnd w:id="101"/>
    </w:p>
    <w:p>
      <w:bookmarkStart w:id="102" w:name="Ding_Qi_Shou_Ji_Zheng_Li_Xiang_G"/>
      <w:pPr>
        <w:pStyle w:val="Para 4"/>
      </w:pPr>
      <w:r>
        <w:t/>
      </w:r>
      <w:bookmarkEnd w:id="102"/>
    </w:p>
    <w:p>
      <w:pPr>
        <w:pStyle w:val="Normal"/>
      </w:pPr>
      <w:r>
        <w:t>定期收集整理相关政策法规、清单及定额资料，补充资料</w:t>
      </w:r>
    </w:p>
    <w:p>
      <w:pPr>
        <w:pStyle w:val="Normal"/>
      </w:pPr>
      <w:r>
        <w:t>可在软件中点击链接查看</w:t>
      </w:r>
    </w:p>
    <w:p>
      <w:pPr>
        <w:pStyle w:val="Para 4"/>
      </w:pPr>
      <w:r>
        <w:t xml:space="preserve"> </w:t>
      </w:r>
    </w:p>
    <w:p>
      <w:bookmarkStart w:id="103" w:name="Top_of_270_html"/>
      <w:pPr>
        <w:pStyle w:val="Heading 1"/>
        <w:pageBreakBefore w:val="on"/>
      </w:pPr>
      <w:r>
        <w:t>五金手册</w:t>
      </w:r>
      <w:bookmarkEnd w:id="103"/>
    </w:p>
    <w:p>
      <w:bookmarkStart w:id="104" w:name="Ji_Suan_Wu_Jin_Cai_Liao_De_Yi_Ge"/>
      <w:pPr>
        <w:pStyle w:val="Para 4"/>
      </w:pPr>
      <w:r>
        <w:t/>
      </w:r>
      <w:bookmarkEnd w:id="104"/>
    </w:p>
    <w:p>
      <w:pPr>
        <w:pStyle w:val="Normal"/>
      </w:pPr>
      <w:r>
        <w:t>计算五金材料的一个小工具</w:t>
      </w:r>
    </w:p>
    <w:p>
      <w:pPr>
        <w:pStyle w:val="2 Block"/>
      </w:pPr>
    </w:p>
    <w:p>
      <w:pPr>
        <w:pStyle w:val="Para 4"/>
      </w:pPr>
      <w:r>
        <w:t xml:space="preserve"> </w:t>
      </w:r>
    </w:p>
    <w:p>
      <w:bookmarkStart w:id="105" w:name="Top_of_271_html"/>
      <w:pPr>
        <w:pStyle w:val="Heading 1"/>
        <w:pageBreakBefore w:val="on"/>
      </w:pPr>
      <w:r>
        <w:t>易纵logo菜单</w:t>
      </w:r>
      <w:bookmarkEnd w:id="105"/>
    </w:p>
    <w:p>
      <w:bookmarkStart w:id="106" w:name="Ling_Cun_Wei_Jie_Suan_Wen_Jian"/>
      <w:pPr>
        <w:pStyle w:val="Para 4"/>
      </w:pPr>
      <w:r>
        <w:t/>
      </w:r>
      <w:bookmarkEnd w:id="106"/>
    </w:p>
    <w:p>
      <w:pPr>
        <w:pStyle w:val="2 Block"/>
      </w:pPr>
    </w:p>
    <w:p>
      <w:pPr>
        <w:numPr>
          <w:ilvl w:val="0"/>
          <w:numId w:val="6"/>
        </w:numPr>
        <w:pStyle w:val="Para 1"/>
      </w:pPr>
      <w:r>
        <w:t>另存为结算文件：可把投标文件另存为结算文件，后缀名为yhjs2</w:t>
      </w:r>
    </w:p>
    <w:p>
      <w:pPr>
        <w:numPr>
          <w:ilvl w:val="0"/>
          <w:numId w:val="6"/>
        </w:numPr>
        <w:pStyle w:val="Para 1"/>
      </w:pPr>
      <w:r>
        <w:t>另存为清单预算：可把投标文件另存为清单预算，后缀名为yhqd2</w:t>
      </w:r>
    </w:p>
    <w:p>
      <w:pPr>
        <w:numPr>
          <w:ilvl w:val="0"/>
          <w:numId w:val="6"/>
        </w:numPr>
        <w:pStyle w:val="Para 1"/>
      </w:pPr>
      <w:r>
        <w:t>导入标准文件：可导入后缀名为</w:t>
      </w:r>
      <w:r>
        <w:rPr>
          <w:rStyle w:val="Text0"/>
        </w:rPr>
        <w:t>gclqd的标准数据接口文件，转成后缀名为</w:t>
      </w:r>
      <w:r>
        <w:t>yhtb2的易纵投标过程文件</w:t>
      </w:r>
    </w:p>
    <w:p>
      <w:pPr>
        <w:pStyle w:val="2 Block"/>
      </w:pPr>
    </w:p>
    <w:p>
      <w:pPr>
        <w:numPr>
          <w:ilvl w:val="0"/>
          <w:numId w:val="9"/>
        </w:numPr>
        <w:pStyle w:val="Para 5"/>
      </w:pPr>
      <w:r>
        <w:t>文件合并：选择基准文件，再选择被合并文件，选择合并后保存的新文件，勾选需要合并的项目结构；也可以使用自动勾选功能：若两个文件的项目结构一致，当基准文件中单位工程造价为零时，会将被合并文件中此单位工程的造价内容(包括此单位工程中分部分项造价，措施项目造价等)复制过来，点击确定后，完成合并</w:t>
      </w:r>
    </w:p>
    <w:p>
      <w:pPr>
        <w:pStyle w:val="Normal"/>
      </w:pPr>
      <w:r>
        <w:t>注：招标文件不一致，不能合并</w:t>
      </w:r>
    </w:p>
    <w:p>
      <w:pPr>
        <w:pStyle w:val="2 Block"/>
      </w:pPr>
    </w:p>
    <w:p>
      <w:pPr>
        <w:numPr>
          <w:ilvl w:val="0"/>
          <w:numId w:val="3"/>
        </w:numPr>
        <w:pStyle w:val="Para 1"/>
      </w:pPr>
      <w:r>
        <w:t>更新招标文件：可以更新招标文件，具体更新了哪些内容，可查看答疑说明。房建项目的招标文件后缀名可以选择TBQD或者CZB格式</w:t>
      </w:r>
    </w:p>
    <w:p>
      <w:pPr>
        <w:numPr>
          <w:ilvl w:val="0"/>
          <w:numId w:val="3"/>
        </w:numPr>
        <w:pStyle w:val="Para 1"/>
      </w:pPr>
      <w:r>
        <w:t>选项-设置：可勾选字典界面套用工料机时是否载价或项目编码进入编辑状态双击是否显示字典界面或是否弹出借用子目扣减窗口或文件自动备份时间</w:t>
      </w:r>
    </w:p>
    <w:p>
      <w:pPr>
        <w:pStyle w:val="Para 1"/>
      </w:pPr>
      <w:r>
        <w:t>注：软件自动默认20分钟保存一次</w:t>
      </w:r>
    </w:p>
    <w:p>
      <w:pPr>
        <w:pStyle w:val="2 Block"/>
      </w:pPr>
    </w:p>
    <w:p>
      <w:pPr>
        <w:numPr>
          <w:ilvl w:val="0"/>
          <w:numId w:val="4"/>
        </w:numPr>
        <w:pStyle w:val="Para 1"/>
      </w:pPr>
      <w:r>
        <w:t>选项-切换基价包：可切换成与当前页面不同的信息价</w:t>
      </w:r>
    </w:p>
    <w:p>
      <w:pPr>
        <w:numPr>
          <w:ilvl w:val="0"/>
          <w:numId w:val="4"/>
        </w:numPr>
        <w:pStyle w:val="Para 1"/>
      </w:pPr>
      <w:r>
        <w:t>帮助：包含关于工具（查看软件版本号）、使用手册、QQ服务、授权信息</w:t>
      </w:r>
    </w:p>
    <w:p>
      <w:pPr>
        <w:pStyle w:val="Para 4"/>
      </w:pPr>
      <w:r>
        <w:t xml:space="preserve"> </w:t>
      </w:r>
    </w:p>
    <w:sectPr>
      <w:pgSz w:h="16837" w:w="11905"/>
      <w:pgMar w:right="1440" w:top="1440" w:left="1440" w:bottom="1440"/>
      <w:cols w:space="720"/>
      <w:docGrid w:linePitch="360"/>
    </w:sectPr>
  </w:body>
</w:document>
</file>

<file path=word/fontTable.xml><?xml version="1.0" encoding="utf-8"?>
<w:fonts xmlns:w="http://schemas.openxmlformats.org/wordprocessingml/2006/main">
  <w:font w:name="-apple-system"/>
  <w:font w:name="Cambria"/>
  <w:font w:name="Helvetica Neue"/>
</w:fonts>
</file>

<file path=word/numbering.xml><?xml version="1.0" encoding="utf-8"?>
<w:numbering xmlns:w="http://schemas.openxmlformats.org/wordprocessingml/2006/main">
  <w:abstractNum w:abstractNumId="0">
    <w:multiLevelType w:val="hybridMultilevel"/>
    <w:name w:val="List 1"/>
    <w:lvl w:ilvl="0">
      <w:start w:val="1"/>
      <w:numFmt w:val="bullet"/>
      <w:lvlText w:val=""/>
      <w:lvlJc w:val="left"/>
      <w:pPr>
        <w:ind w:hanging="360" w:left="1152"/>
      </w:pPr>
      <w:rPr>
        <w:rFonts w:ascii="Symbol" w:hAnsi="Symbol" w:hint="default"/>
      </w:r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abstractNum w:abstractNumId="2">
    <w:multiLevelType w:val="hybridMultilevel"/>
    <w:name w:val="List 3"/>
    <w:lvl w:ilvl="0">
      <w:start w:val="1"/>
      <w:numFmt w:val="bullet"/>
      <w:lvlText w:val=""/>
      <w:lvlJc w:val="left"/>
      <w:pPr>
        <w:ind w:hanging="360" w:left="1152"/>
      </w:pPr>
      <w:rPr>
        <w:rFonts w:ascii="Symbol" w:hAnsi="Symbol" w:hint="default"/>
      </w:rPr>
    </w:lvl>
  </w:abstractNum>
  <w:abstractNum w:abstractNumId="3">
    <w:multiLevelType w:val="hybridMultilevel"/>
    <w:name w:val="List 4"/>
    <w:lvl w:ilvl="0">
      <w:start w:val="1"/>
      <w:numFmt w:val="bullet"/>
      <w:lvlText w:val=""/>
      <w:lvlJc w:val="left"/>
      <w:pPr>
        <w:ind w:hanging="360" w:left="1152"/>
      </w:pPr>
      <w:rPr>
        <w:rFonts w:ascii="Symbol" w:hAnsi="Symbol" w:hint="default"/>
      </w:rPr>
    </w:lvl>
  </w:abstractNum>
  <w:abstractNum w:abstractNumId="4">
    <w:multiLevelType w:val="hybridMultilevel"/>
    <w:name w:val="List 5"/>
    <w:lvl w:ilvl="0">
      <w:start w:val="1"/>
      <w:numFmt w:val="bullet"/>
      <w:lvlText w:val=""/>
      <w:lvlJc w:val="left"/>
      <w:pPr>
        <w:ind w:hanging="360" w:left="1152"/>
      </w:pPr>
      <w:rPr>
        <w:rFonts w:ascii="Symbol" w:hAnsi="Symbol" w:hint="default"/>
      </w:rPr>
    </w:lvl>
  </w:abstractNum>
  <w:abstractNum w:abstractNumId="5">
    <w:multiLevelType w:val="hybridMultilevel"/>
    <w:name w:val="List 6"/>
    <w:lvl w:ilvl="0">
      <w:start w:val="1"/>
      <w:numFmt w:val="bullet"/>
      <w:lvlText w:val=""/>
      <w:lvlJc w:val="left"/>
      <w:pPr>
        <w:ind w:hanging="360" w:left="1152"/>
      </w:pPr>
      <w:rPr>
        <w:rFonts w:ascii="Symbol" w:hAnsi="Symbol" w:hint="default"/>
      </w:rPr>
    </w:lvl>
  </w:abstractNum>
  <w:abstractNum w:abstractNumId="6">
    <w:multiLevelType w:val="hybridMultilevel"/>
    <w:name w:val="List 7"/>
    <w:lvl w:ilvl="0">
      <w:start w:val="1"/>
      <w:numFmt w:val="bullet"/>
      <w:lvlText w:val=""/>
      <w:lvlJc w:val="left"/>
      <w:pPr>
        <w:ind w:hanging="360" w:left="1152"/>
      </w:pPr>
      <w:rPr>
        <w:rFonts w:ascii="Symbol" w:hAnsi="Symbol" w:hint="default"/>
      </w:rPr>
    </w:lvl>
  </w:abstractNum>
  <w:abstractNum w:abstractNumId="7">
    <w:multiLevelType w:val="hybridMultilevel"/>
    <w:name w:val="List 8"/>
    <w:lvl w:ilvl="0">
      <w:start w:val="1"/>
      <w:numFmt w:val="bullet"/>
      <w:lvlText w:val=""/>
      <w:lvlJc w:val="left"/>
      <w:pPr>
        <w:ind w:hanging="360" w:left="1152"/>
      </w:pPr>
      <w:rPr>
        <w:rFonts w:ascii="Symbol" w:hAnsi="Symbol" w:hint="default"/>
      </w:rPr>
    </w:lvl>
  </w:abstractNum>
  <w:abstractNum w:abstractNumId="8">
    <w:multiLevelType w:val="hybridMultilevel"/>
    <w:name w:val="List 9"/>
    <w:lvl w:ilvl="0">
      <w:start w:val="1"/>
      <w:numFmt w:val="bullet"/>
      <w:lvlText w:val=""/>
      <w:lvlJc w:val="left"/>
      <w:pPr>
        <w:ind w:hanging="360" w:left="1152"/>
      </w:pPr>
      <w:rPr>
        <w:rFonts w:ascii="Symbol" w:hAnsi="Symbol" w:hint="default"/>
      </w:rPr>
    </w:lvl>
  </w:abstractNum>
  <w:abstractNum w:abstractNumId="9">
    <w:multiLevelType w:val="hybridMultilevel"/>
    <w:name w:val="List 10"/>
    <w:lvl w:ilvl="0">
      <w:start w:val="1"/>
      <w:numFmt w:val="bullet"/>
      <w:lvlText w:val=""/>
      <w:lvlJc w:val="left"/>
      <w:pPr>
        <w:ind w:hanging="360" w:left="1152"/>
      </w:pPr>
      <w:rPr>
        <w:rFonts w:ascii="Symbol" w:hAnsi="Symbol" w:hint="default"/>
      </w:rPr>
    </w:lvl>
  </w:abstractNum>
  <w:abstractNum w:abstractNumId="10">
    <w:multiLevelType w:val="hybridMultilevel"/>
    <w:name w:val="List 11"/>
    <w:lvl w:ilvl="0">
      <w:start w:val="1"/>
      <w:numFmt w:val="bullet"/>
      <w:lvlText w:val=""/>
      <w:lvlJc w:val="left"/>
      <w:pPr>
        <w:ind w:hanging="360" w:left="1152"/>
      </w:pPr>
      <w:rPr>
        <w:rFonts w:ascii="Symbol" w:hAnsi="Symbol" w:hint="default"/>
      </w:rPr>
    </w:lvl>
  </w:abstractNum>
  <w:abstractNum w:abstractNumId="11">
    <w:multiLevelType w:val="hybridMultilevel"/>
    <w:name w:val="List 12"/>
    <w:lvl w:ilvl="0">
      <w:start w:val="1"/>
      <w:numFmt w:val="bullet"/>
      <w:lvlText w:val=""/>
      <w:lvlJc w:val="left"/>
      <w:pPr>
        <w:ind w:hanging="360" w:left="1152"/>
      </w:pPr>
      <w:rPr>
        <w:rFonts w:ascii="Symbol" w:hAnsi="Symbol" w:hint="default"/>
      </w:rPr>
    </w:lvl>
  </w:abstractNum>
  <w:abstractNum w:abstractNumId="12">
    <w:multiLevelType w:val="hybridMultilevel"/>
    <w:name w:val="List 13"/>
    <w:lvl w:ilvl="0">
      <w:start w:val="1"/>
      <w:numFmt w:val="bullet"/>
      <w:lvlText w:val=""/>
      <w:lvlJc w:val="left"/>
      <w:pPr>
        <w:ind w:hanging="360" w:left="1152"/>
      </w:pPr>
      <w:rPr>
        <w:rFonts w:ascii="Symbol" w:hAnsi="Symbol" w:hint="default"/>
      </w:rPr>
    </w:lvl>
  </w:abstractNum>
  <w:abstractNum w:abstractNumId="13">
    <w:multiLevelType w:val="hybridMultilevel"/>
    <w:name w:val="List 14"/>
    <w:lvl w:ilvl="0">
      <w:start w:val="1"/>
      <w:numFmt w:val="bullet"/>
      <w:lvlText w:val=""/>
      <w:lvlJc w:val="left"/>
      <w:pPr>
        <w:ind w:hanging="360" w:left="1152"/>
      </w:pPr>
      <w:rPr>
        <w:rFonts w:ascii="Symbol" w:hAnsi="Symbol" w:hint="default"/>
      </w:rPr>
    </w:lvl>
  </w:abstractNum>
  <w:abstractNum w:abstractNumId="14">
    <w:multiLevelType w:val="hybridMultilevel"/>
    <w:name w:val="List 15"/>
    <w:lvl w:ilvl="0">
      <w:start w:val="1"/>
      <w:numFmt w:val="bullet"/>
      <w:lvlText w:val=""/>
      <w:lvlJc w:val="left"/>
      <w:pPr>
        <w:ind w:hanging="360" w:left="1152"/>
      </w:pPr>
      <w:rPr>
        <w:rFonts w:ascii="Symbol" w:hAnsi="Symbol" w:hint="default"/>
      </w:rPr>
    </w:lvl>
  </w:abstractNum>
  <w:abstractNum w:abstractNumId="15">
    <w:multiLevelType w:val="hybridMultilevel"/>
    <w:name w:val="List 16"/>
    <w:lvl w:ilvl="0">
      <w:start w:val="1"/>
      <w:numFmt w:val="bullet"/>
      <w:lvlText w:val=""/>
      <w:lvlJc w:val="left"/>
      <w:pPr>
        <w:ind w:hanging="360" w:left="1152"/>
      </w:pPr>
      <w:rPr>
        <w:rFonts w:ascii="Symbol" w:hAnsi="Symbol" w:hint="default"/>
      </w:rPr>
    </w:lvl>
  </w:abstractNum>
  <w:abstractNum w:abstractNumId="16">
    <w:multiLevelType w:val="hybridMultilevel"/>
    <w:name w:val="List 17"/>
    <w:lvl w:ilvl="0">
      <w:start w:val="1"/>
      <w:numFmt w:val="bullet"/>
      <w:lvlText w:val=""/>
      <w:lvlJc w:val="left"/>
      <w:pPr>
        <w:ind w:hanging="360" w:left="1152"/>
      </w:pPr>
      <w:rPr>
        <w:rFonts w:ascii="Symbol" w:hAnsi="Symbol" w:hint="default"/>
      </w:rPr>
    </w:lvl>
  </w:abstractNum>
  <w:abstractNum w:abstractNumId="17">
    <w:multiLevelType w:val="hybridMultilevel"/>
    <w:name w:val="List 18"/>
    <w:lvl w:ilvl="0">
      <w:start w:val="1"/>
      <w:numFmt w:val="bullet"/>
      <w:lvlText w:val=""/>
      <w:lvlJc w:val="left"/>
      <w:pPr>
        <w:ind w:hanging="360" w:left="1152"/>
      </w:pPr>
      <w:rPr>
        <w:rFonts w:ascii="Symbol" w:hAnsi="Symbol" w:hint="default"/>
      </w:rPr>
    </w:lvl>
  </w:abstractNum>
  <w:abstractNum w:abstractNumId="18">
    <w:multiLevelType w:val="hybridMultilevel"/>
    <w:name w:val="List 19"/>
    <w:lvl w:ilvl="0">
      <w:start w:val="1"/>
      <w:numFmt w:val="bullet"/>
      <w:lvlText w:val=""/>
      <w:lvlJc w:val="left"/>
      <w:pPr>
        <w:ind w:hanging="360" w:left="1152"/>
      </w:pPr>
      <w:rPr>
        <w:rFonts w:ascii="Symbol" w:hAnsi="Symbol" w:hint="default"/>
      </w:rPr>
    </w:lvl>
  </w:abstractNum>
  <w:abstractNum w:abstractNumId="19">
    <w:multiLevelType w:val="hybridMultilevel"/>
    <w:name w:val="List 20"/>
    <w:lvl w:ilvl="0">
      <w:start w:val="1"/>
      <w:numFmt w:val="bullet"/>
      <w:lvlText w:val=""/>
      <w:lvlJc w:val="left"/>
      <w:pPr>
        <w:ind w:hanging="360" w:left="1152"/>
      </w:pPr>
      <w:rPr>
        <w:rFonts w:ascii="Symbol" w:hAnsi="Symbol"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tyles.xml><?xml version="1.0" encoding="utf-8"?>
<w:styles xmlns:w="http://schemas.openxmlformats.org/wordprocessingml/2006/main">
  <w:docDefaults>
    <w:rPrDefault>
      <w:rPr>
        <w:rFonts w:cstheme="minorBidi" w:eastAsiaTheme="minorEastAsia" w:hAnsiTheme="minorHAnsi" w:asciiTheme="minorHAnsi"/>
        <w:sz w:val="22"/>
        <w:szCs w:val="22"/>
        <w:lang w:eastAsia="zh" w:val="zh" w:bidi="zh"/>
      </w:rPr>
    </w:rPrDefault>
    <w:pPrDefault>
      <w:pPr>
        <w:spacing w:after="0" w:lineRule="auto" w:line="276"/>
      </w:pPr>
    </w:pPrDefault>
  </w:docDefaults>
  <w:style w:styleId="Normal" w:type="paragraph" w:default="1">
    <w:name w:val="Normal"/>
    <w:qFormat/>
    <w:pPr>
      <w:spacing w:after="230" w:line="360" w:lineRule="atLeast"/>
      <w:jc w:val="left"/>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1" w:type="paragraph">
    <w:name w:val="Para 1"/>
    <w:qFormat/>
    <w:basedOn w:val="Normal"/>
    <w:pPr>
      <w:spacing w:before="230"/>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2" w:type="paragraph">
    <w:name w:val="Para 2"/>
    <w:qFormat/>
    <w:basedOn w:val="Normal"/>
    <w:pPr>
      <w:spacing w:after="0" w:line="324" w:lineRule="atLeast"/>
    </w:pPr>
    <w:rPr>
      <w:rFonts w:ascii="Cambria" w:cs="Cambria" w:eastAsia="Cambria" w:hAnsi="Cambria"/>
      <w:sz w:val="27"/>
      <w:szCs w:val="27"/>
      <w:color w:val="0000FF"/>
      <w:u w:val="single"/>
    </w:rPr>
  </w:style>
  <w:style w:styleId="Heading 1" w:type="paragraph">
    <w:name w:val="Heading 1"/>
    <w:qFormat/>
    <w:basedOn w:val="Normal"/>
    <w:pPr>
      <w:spacing w:before="216" w:after="216" w:line="576" w:lineRule="atLeast"/>
      <w:shd w:color="auto" w:fill="FFFFFF" w:val="clear"/>
      <w:outlineLvl w:val="1"/>
    </w:pPr>
    <w:rPr>
      <w:rFonts w:ascii="Helvetica Neue" w:cs="Helvetica Neue" w:eastAsia="Helvetica Neue" w:hAnsi="Helvetica Neue"/>
      <w:sz w:val="48"/>
      <w:szCs w:val="48"/>
      <w:color w:val="222222"/>
    </w:rPr>
  </w:style>
  <w:style w:styleId="Para 4" w:type="paragraph">
    <w:name w:val="Para 4"/>
    <w:qFormat/>
    <w:basedOn w:val="Normal"/>
    <w:pPr>
      <w:spacing w:after="0"/>
      <w:shd w:color="auto" w:fill="FFFFFF" w:val="clea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5" w:type="paragraph">
    <w:name w:val="Para 5"/>
    <w:qFormat/>
    <w:basedOn w:val="Normal"/>
    <w:pPr>
      <w:spacing w:after="0"/>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6" w:type="paragraph">
    <w:name w:val="Para 6"/>
    <w:qFormat/>
    <w:basedOn w:val="Normal"/>
    <w:pPr>
      <w:spacing w:after="0" w:line="576" w:lineRule="atLeast"/>
      <w:jc w:val="center"/>
    </w:pPr>
    <w:rPr>
      <w:rFonts w:ascii="Cambria" w:cs="Cambria" w:eastAsia="Cambria" w:hAnsi="Cambria"/>
      <w:sz w:val="48"/>
      <w:szCs w:val="48"/>
      <w:b w:val="on"/>
      <w:bCs w:val="on"/>
      <w:color w:val="000000"/>
    </w:rPr>
  </w:style>
  <w:style w:styleId="Text0" w:type="character">
    <w:name w:val="0 Text"/>
    <w:rPr>
      <w:i w:val="on"/>
      <w:iCs w:val="on"/>
    </w:rPr>
  </w:style>
  <w:style w:styleId="Text1" w:type="character">
    <w:name w:val="1 Text"/>
    <w:rPr>
      <w:color w:val="0000FF"/>
      <w:u w:val="single"/>
    </w:rPr>
  </w:style>
  <w:style w:styleId="0 Block" w:type="paragraph">
    <w:name w:val="0 Block"/>
    <w:pPr>
      <w:spacing w:line="324" w:lineRule="atLeast"/>
      <w:jc w:val="left"/>
    </w:pPr>
  </w:style>
  <w:style w:styleId="1 Block" w:type="paragraph">
    <w:name w:val="1 Block"/>
    <w:basedOn w:val="0 Block"/>
    <w:pPr>
      <w:spacing w:before="230" w:after="230" w:line="360" w:lineRule="atLeast"/>
    </w:pPr>
  </w:style>
  <w:style w:styleId="2 Block" w:type="paragraph">
    <w:name w:val="2 Block"/>
    <w:basedOn w:val="0 Block"/>
    <w:pPr>
      <w:spacing w:after="230" w:line="360" w:lineRule="atLeast"/>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Type="http://schemas.openxmlformats.org/officeDocument/2006/relationships/image" Target="media/m_5004e608e6389269b4c283da345dd5a0_r.jpeg" Id="rId6"/><Relationship Type="http://schemas.openxmlformats.org/officeDocument/2006/relationships/image" Target="media/m_88eeb64d7f1f3c885a59a4a904afe6d0_r.jpeg" Id="rId8"/><Relationship Type="http://schemas.openxmlformats.org/officeDocument/2006/relationships/image" Target="media/m_d750cd004aef4ef5e80f20305d63d7a4_r.png" Id="rId9"/><Relationship Type="http://schemas.openxmlformats.org/officeDocument/2006/relationships/image" Target="media/m_81c7b0ffbeba693c42b9a471ca7fc12b_r.png" Id="rId5"/><Relationship Type="http://schemas.openxmlformats.org/officeDocument/2006/relationships/styles" Target="styles.xml" Id="rId3"/><Relationship Type="http://schemas.openxmlformats.org/officeDocument/2006/relationships/hyperlink" Target="http://www.geekray.cn" Id="rId11" TargetMode="External"/><Relationship Type="http://schemas.openxmlformats.org/officeDocument/2006/relationships/numbering" Target="numbering.xml" Id="rId2"/><Relationship Type="http://schemas.openxmlformats.org/officeDocument/2006/relationships/image" Target="media/m_9065401168dd8f2779053357f22b4e76_r.png" Id="rId10"/><Relationship Type="http://schemas.openxmlformats.org/officeDocument/2006/relationships/webSettings" Target="webSettings.xml" Id="rId1"/><Relationship Type="http://schemas.openxmlformats.org/officeDocument/2006/relationships/image" Target="media/m_fee1c4c4bb6e3c42da4e511788004eeb_r.png" Id="rId7"/><Relationship Type="http://schemas.openxmlformats.org/officeDocument/2006/relationships/fontTable" Target="fontTable.xml" Id="rId4"/></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03.0043</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2022-07-06T02:04:44Z</dcterms:created>
  <dcterms:modified xsi:type="dcterms:W3CDTF">2022-07-06T02:04:44Z</dcterms:modified>
  <dc:title>投标编制</dc:title>
  <dc:creator>Unknown</dc:creator>
  <dc:language>zh</dc:language>
</cp:coreProperties>
</file>